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color w:val="auto"/>
          <w:sz w:val="40"/>
          <w:szCs w:val="4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color w:val="auto"/>
          <w:sz w:val="48"/>
          <w:szCs w:val="48"/>
          <w:highlight w:val="none"/>
          <w:lang w:val="en-US" w:eastAsia="zh-CN"/>
        </w:rPr>
      </w:pPr>
      <w:r>
        <w:rPr>
          <w:rFonts w:hint="eastAsia" w:ascii="仿宋" w:hAnsi="仿宋" w:eastAsia="仿宋" w:cs="仿宋"/>
          <w:b/>
          <w:bCs/>
          <w:color w:val="auto"/>
          <w:sz w:val="48"/>
          <w:szCs w:val="48"/>
          <w:highlight w:val="none"/>
          <w:lang w:val="en-US" w:eastAsia="zh-CN"/>
        </w:rPr>
        <w:t>阿图什市街道办事处社区卫生服务中心项目设备采购项目（3包）</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default" w:ascii="仿宋" w:hAnsi="仿宋" w:eastAsia="仿宋" w:cs="仿宋"/>
          <w:color w:val="auto"/>
          <w:highlight w:val="none"/>
          <w:lang w:val="en-US"/>
        </w:rPr>
      </w:pPr>
      <w:r>
        <w:rPr>
          <w:rFonts w:hint="eastAsia" w:ascii="仿宋" w:hAnsi="仿宋" w:eastAsia="仿宋" w:cs="仿宋"/>
          <w:b/>
          <w:bCs/>
          <w:color w:val="auto"/>
          <w:sz w:val="40"/>
          <w:szCs w:val="40"/>
          <w:highlight w:val="none"/>
          <w:lang w:eastAsia="zh-CN"/>
        </w:rPr>
        <w:t>项目编号：ATSSJYZX-2022</w:t>
      </w:r>
      <w:r>
        <w:rPr>
          <w:rFonts w:hint="eastAsia" w:ascii="仿宋" w:hAnsi="仿宋" w:eastAsia="仿宋" w:cs="仿宋"/>
          <w:b/>
          <w:bCs/>
          <w:color w:val="auto"/>
          <w:sz w:val="40"/>
          <w:szCs w:val="40"/>
          <w:highlight w:val="none"/>
          <w:lang w:val="en-US" w:eastAsia="zh-CN"/>
        </w:rPr>
        <w:t>082-3</w:t>
      </w:r>
    </w:p>
    <w:p>
      <w:pPr>
        <w:pStyle w:val="30"/>
        <w:outlineLvl w:val="9"/>
        <w:rPr>
          <w:rFonts w:hint="eastAsia" w:ascii="仿宋" w:hAnsi="仿宋" w:eastAsia="仿宋" w:cs="仿宋"/>
          <w:color w:val="auto"/>
          <w:highlight w:val="none"/>
        </w:rPr>
      </w:pPr>
    </w:p>
    <w:p>
      <w:pPr>
        <w:pStyle w:val="30"/>
        <w:jc w:val="center"/>
        <w:outlineLvl w:val="9"/>
        <w:rPr>
          <w:rFonts w:hint="eastAsia" w:ascii="仿宋" w:hAnsi="仿宋" w:eastAsia="仿宋" w:cs="仿宋"/>
          <w:b/>
          <w:color w:val="auto"/>
          <w:sz w:val="96"/>
          <w:szCs w:val="96"/>
          <w:highlight w:val="none"/>
          <w:lang w:eastAsia="zh-CN"/>
        </w:rPr>
      </w:pPr>
      <w:r>
        <w:rPr>
          <w:rFonts w:hint="eastAsia" w:ascii="仿宋" w:hAnsi="仿宋" w:eastAsia="仿宋" w:cs="仿宋"/>
          <w:b/>
          <w:color w:val="auto"/>
          <w:sz w:val="96"/>
          <w:szCs w:val="96"/>
          <w:highlight w:val="none"/>
          <w:lang w:eastAsia="zh-CN"/>
        </w:rPr>
        <w:t>招</w:t>
      </w:r>
    </w:p>
    <w:p>
      <w:pPr>
        <w:pStyle w:val="30"/>
        <w:jc w:val="center"/>
        <w:outlineLvl w:val="9"/>
        <w:rPr>
          <w:rFonts w:hint="eastAsia" w:ascii="仿宋" w:hAnsi="仿宋" w:eastAsia="仿宋" w:cs="仿宋"/>
          <w:b/>
          <w:bCs/>
          <w:color w:val="auto"/>
          <w:sz w:val="96"/>
          <w:szCs w:val="96"/>
          <w:highlight w:val="none"/>
          <w:lang w:eastAsia="zh-CN"/>
        </w:rPr>
      </w:pPr>
      <w:r>
        <w:rPr>
          <w:rFonts w:hint="eastAsia" w:ascii="仿宋" w:hAnsi="仿宋" w:eastAsia="仿宋" w:cs="仿宋"/>
          <w:b/>
          <w:color w:val="auto"/>
          <w:sz w:val="96"/>
          <w:szCs w:val="96"/>
          <w:highlight w:val="none"/>
          <w:lang w:eastAsia="zh-CN"/>
        </w:rPr>
        <w:t>标</w:t>
      </w:r>
    </w:p>
    <w:p>
      <w:pPr>
        <w:pStyle w:val="30"/>
        <w:jc w:val="center"/>
        <w:outlineLvl w:val="9"/>
        <w:rPr>
          <w:rFonts w:hint="eastAsia" w:ascii="仿宋" w:hAnsi="仿宋" w:eastAsia="仿宋" w:cs="仿宋"/>
          <w:b/>
          <w:bCs/>
          <w:color w:val="auto"/>
          <w:sz w:val="96"/>
          <w:szCs w:val="96"/>
          <w:highlight w:val="none"/>
          <w:lang w:eastAsia="zh-CN"/>
        </w:rPr>
      </w:pPr>
      <w:r>
        <w:rPr>
          <w:rFonts w:hint="eastAsia" w:ascii="仿宋" w:hAnsi="仿宋" w:eastAsia="仿宋" w:cs="仿宋"/>
          <w:b/>
          <w:bCs/>
          <w:color w:val="auto"/>
          <w:sz w:val="96"/>
          <w:szCs w:val="96"/>
          <w:highlight w:val="none"/>
          <w:lang w:eastAsia="zh-CN"/>
        </w:rPr>
        <w:t>文</w:t>
      </w:r>
    </w:p>
    <w:p>
      <w:pPr>
        <w:pStyle w:val="30"/>
        <w:jc w:val="center"/>
        <w:outlineLvl w:val="9"/>
        <w:rPr>
          <w:rFonts w:hint="eastAsia" w:ascii="仿宋" w:hAnsi="仿宋" w:eastAsia="仿宋" w:cs="仿宋"/>
          <w:color w:val="auto"/>
          <w:sz w:val="84"/>
          <w:szCs w:val="84"/>
          <w:highlight w:val="none"/>
          <w:lang w:eastAsia="zh-CN"/>
        </w:rPr>
      </w:pPr>
      <w:r>
        <w:rPr>
          <w:rFonts w:hint="eastAsia" w:ascii="仿宋" w:hAnsi="仿宋" w:eastAsia="仿宋" w:cs="仿宋"/>
          <w:b/>
          <w:bCs/>
          <w:color w:val="auto"/>
          <w:sz w:val="96"/>
          <w:szCs w:val="96"/>
          <w:highlight w:val="none"/>
          <w:lang w:eastAsia="zh-CN"/>
        </w:rPr>
        <w:t>件</w:t>
      </w:r>
    </w:p>
    <w:p>
      <w:pPr>
        <w:pStyle w:val="30"/>
        <w:outlineLvl w:val="9"/>
        <w:rPr>
          <w:rFonts w:hint="eastAsia" w:ascii="仿宋" w:hAnsi="仿宋" w:eastAsia="仿宋" w:cs="仿宋"/>
          <w:color w:val="auto"/>
          <w:highlight w:val="none"/>
        </w:rPr>
      </w:pP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eastAsia="zh-CN"/>
        </w:rPr>
      </w:pPr>
      <w:r>
        <w:rPr>
          <w:rFonts w:hint="eastAsia" w:ascii="仿宋" w:hAnsi="仿宋" w:eastAsia="仿宋" w:cs="仿宋"/>
          <w:color w:val="auto"/>
          <w:sz w:val="36"/>
          <w:szCs w:val="36"/>
          <w:highlight w:val="none"/>
        </w:rPr>
        <w:t>采购单位：</w:t>
      </w:r>
      <w:r>
        <w:rPr>
          <w:rFonts w:hint="eastAsia" w:ascii="仿宋" w:hAnsi="仿宋" w:eastAsia="仿宋" w:cs="仿宋"/>
          <w:color w:val="auto"/>
          <w:sz w:val="36"/>
          <w:szCs w:val="36"/>
          <w:highlight w:val="none"/>
          <w:lang w:eastAsia="zh-CN"/>
        </w:rPr>
        <w:t>阿图什市卫生健康委员会</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联 系 人：胡先生</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联系电话：13345373958</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代理机构：</w:t>
      </w:r>
      <w:r>
        <w:rPr>
          <w:rFonts w:hint="eastAsia" w:ascii="仿宋" w:hAnsi="仿宋" w:eastAsia="仿宋" w:cs="仿宋"/>
          <w:color w:val="auto"/>
          <w:sz w:val="36"/>
          <w:szCs w:val="36"/>
          <w:highlight w:val="none"/>
          <w:lang w:eastAsia="zh-CN"/>
        </w:rPr>
        <w:t>新疆天勤工程管理有限公司</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eastAsia="zh-CN"/>
        </w:rPr>
      </w:pPr>
      <w:r>
        <w:rPr>
          <w:rFonts w:hint="eastAsia" w:ascii="仿宋" w:hAnsi="仿宋" w:eastAsia="仿宋" w:cs="仿宋"/>
          <w:color w:val="auto"/>
          <w:sz w:val="36"/>
          <w:szCs w:val="36"/>
          <w:highlight w:val="none"/>
        </w:rPr>
        <w:t>联 系 人：</w:t>
      </w:r>
      <w:r>
        <w:rPr>
          <w:rFonts w:hint="eastAsia" w:ascii="仿宋" w:hAnsi="仿宋" w:eastAsia="仿宋" w:cs="仿宋"/>
          <w:color w:val="auto"/>
          <w:sz w:val="36"/>
          <w:szCs w:val="36"/>
          <w:highlight w:val="none"/>
          <w:lang w:val="en-US" w:eastAsia="zh-CN"/>
        </w:rPr>
        <w:t>王</w:t>
      </w:r>
      <w:r>
        <w:rPr>
          <w:rFonts w:hint="eastAsia" w:ascii="仿宋" w:hAnsi="仿宋" w:eastAsia="仿宋" w:cs="仿宋"/>
          <w:color w:val="auto"/>
          <w:sz w:val="36"/>
          <w:szCs w:val="36"/>
          <w:highlight w:val="none"/>
          <w:lang w:eastAsia="zh-CN"/>
        </w:rPr>
        <w:t>先生</w:t>
      </w:r>
    </w:p>
    <w:p>
      <w:pPr>
        <w:ind w:firstLine="360" w:firstLineChars="100"/>
        <w:jc w:val="both"/>
        <w:outlineLvl w:val="9"/>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lang w:val="en-US" w:eastAsia="zh-CN"/>
        </w:rPr>
        <w:t>联系电话：13779615026</w:t>
      </w:r>
    </w:p>
    <w:p>
      <w:pPr>
        <w:jc w:val="center"/>
        <w:outlineLvl w:val="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招投标监督管理机构备案登记栏</w:t>
      </w:r>
    </w:p>
    <w:tbl>
      <w:tblPr>
        <w:tblStyle w:val="24"/>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5" w:hRule="atLeast"/>
          <w:jc w:val="center"/>
        </w:trPr>
        <w:tc>
          <w:tcPr>
            <w:tcW w:w="8854" w:type="dxa"/>
          </w:tcPr>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w w:val="95"/>
                <w:sz w:val="32"/>
                <w:szCs w:val="32"/>
                <w:highlight w:val="none"/>
                <w:lang w:val="en-US" w:eastAsia="zh-CN"/>
              </w:rPr>
            </w:pPr>
            <w:r>
              <w:rPr>
                <w:rFonts w:hint="eastAsia" w:ascii="仿宋" w:hAnsi="仿宋" w:eastAsia="仿宋" w:cs="仿宋"/>
                <w:color w:val="auto"/>
                <w:sz w:val="32"/>
                <w:szCs w:val="32"/>
                <w:highlight w:val="none"/>
              </w:rPr>
              <w:t>采购单位：</w:t>
            </w:r>
            <w:r>
              <w:rPr>
                <w:rFonts w:hint="eastAsia" w:ascii="仿宋" w:hAnsi="仿宋" w:eastAsia="仿宋" w:cs="仿宋"/>
                <w:color w:val="auto"/>
                <w:sz w:val="32"/>
                <w:szCs w:val="32"/>
                <w:highlight w:val="none"/>
                <w:lang w:val="en-US" w:eastAsia="zh-CN"/>
              </w:rPr>
              <w:t xml:space="preserve">阿图什市卫生健康委员会  </w:t>
            </w:r>
            <w:r>
              <w:rPr>
                <w:rFonts w:hint="eastAsia" w:ascii="仿宋" w:hAnsi="仿宋" w:eastAsia="仿宋" w:cs="仿宋"/>
                <w:color w:val="auto"/>
                <w:w w:val="95"/>
                <w:sz w:val="32"/>
                <w:szCs w:val="32"/>
                <w:highlight w:val="none"/>
                <w:lang w:eastAsia="zh-CN"/>
              </w:rPr>
              <w:t>（盖章）</w:t>
            </w: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 xml:space="preserve"> </w:t>
            </w:r>
            <w:r>
              <w:rPr>
                <w:rFonts w:hint="eastAsia" w:ascii="仿宋" w:hAnsi="仿宋" w:eastAsia="仿宋" w:cs="仿宋"/>
                <w:color w:val="auto"/>
                <w:sz w:val="32"/>
                <w:szCs w:val="32"/>
                <w:highlight w:val="none"/>
                <w:lang w:val="en-US" w:eastAsia="zh-CN"/>
              </w:rPr>
              <w:t xml:space="preserve">                                           </w:t>
            </w: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项目名称：</w:t>
            </w:r>
            <w:r>
              <w:rPr>
                <w:rFonts w:hint="eastAsia" w:ascii="仿宋" w:hAnsi="仿宋" w:eastAsia="仿宋" w:cs="仿宋"/>
                <w:color w:val="auto"/>
                <w:sz w:val="32"/>
                <w:szCs w:val="32"/>
                <w:highlight w:val="none"/>
                <w:lang w:val="en-US" w:eastAsia="zh-CN"/>
              </w:rPr>
              <w:t>阿图什市街道办事处社区卫生服务中心项目设备采购项目（3包）</w:t>
            </w: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500" w:lineRule="exac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代理机构：</w:t>
            </w:r>
            <w:r>
              <w:rPr>
                <w:rFonts w:hint="eastAsia" w:ascii="仿宋" w:hAnsi="仿宋" w:eastAsia="仿宋" w:cs="仿宋"/>
                <w:color w:val="auto"/>
                <w:sz w:val="32"/>
                <w:szCs w:val="32"/>
                <w:highlight w:val="none"/>
                <w:lang w:eastAsia="zh-CN"/>
              </w:rPr>
              <w:t>新疆天勤工程管理有限公司（盖章）</w:t>
            </w:r>
          </w:p>
          <w:p>
            <w:pPr>
              <w:jc w:val="center"/>
              <w:outlineLvl w:val="9"/>
              <w:rPr>
                <w:rFonts w:hint="eastAsia" w:ascii="仿宋" w:hAnsi="仿宋" w:eastAsia="仿宋" w:cs="仿宋"/>
                <w:color w:val="auto"/>
                <w:highlight w:val="none"/>
              </w:rPr>
            </w:pPr>
          </w:p>
          <w:p>
            <w:pPr>
              <w:jc w:val="center"/>
              <w:outlineLvl w:val="9"/>
              <w:rPr>
                <w:rFonts w:hint="eastAsia" w:ascii="仿宋" w:hAnsi="仿宋" w:eastAsia="仿宋" w:cs="仿宋"/>
                <w:color w:val="auto"/>
                <w:highlight w:val="none"/>
              </w:rPr>
            </w:pPr>
          </w:p>
          <w:p>
            <w:pPr>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日  期：20</w:t>
            </w:r>
            <w:r>
              <w:rPr>
                <w:rFonts w:hint="eastAsia" w:ascii="仿宋" w:hAnsi="仿宋" w:eastAsia="仿宋" w:cs="仿宋"/>
                <w:color w:val="auto"/>
                <w:highlight w:val="none"/>
                <w:lang w:val="en-US" w:eastAsia="zh-CN"/>
              </w:rPr>
              <w:t>22</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rPr>
              <w:t>月</w:t>
            </w:r>
          </w:p>
          <w:p>
            <w:pPr>
              <w:outlineLvl w:val="9"/>
              <w:rPr>
                <w:rFonts w:hint="eastAsia" w:ascii="仿宋" w:hAnsi="仿宋" w:eastAsia="仿宋" w:cs="仿宋"/>
                <w:color w:val="auto"/>
                <w:highlight w:val="none"/>
              </w:rPr>
            </w:pP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仿宋" w:hAnsi="仿宋" w:eastAsia="仿宋" w:cs="仿宋"/>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仿宋" w:hAnsi="仿宋" w:eastAsia="仿宋" w:cs="仿宋"/>
          <w:color w:val="auto"/>
          <w:sz w:val="44"/>
          <w:szCs w:val="44"/>
          <w:highlight w:val="none"/>
        </w:rPr>
        <w:sectPr>
          <w:headerReference r:id="rId5" w:type="default"/>
          <w:footerReference r:id="rId6" w:type="default"/>
          <w:pgSz w:w="11906" w:h="16838"/>
          <w:pgMar w:top="1440" w:right="1080" w:bottom="1440" w:left="1080" w:header="851" w:footer="992" w:gutter="0"/>
          <w:pgNumType w:fmt="decimal" w:start="1"/>
          <w:cols w:space="720" w:num="1"/>
          <w:docGrid w:type="linesAndChars" w:linePitch="312" w:charSpace="0"/>
        </w:sectPr>
      </w:pPr>
    </w:p>
    <w:p>
      <w:pPr>
        <w:rPr>
          <w:rFonts w:hint="eastAsia" w:ascii="仿宋" w:hAnsi="仿宋" w:eastAsia="仿宋" w:cs="仿宋"/>
          <w:b/>
          <w:bCs/>
          <w:color w:val="auto"/>
          <w:sz w:val="44"/>
          <w:szCs w:val="44"/>
          <w:highlight w:val="none"/>
          <w:lang w:val="zh-CN"/>
        </w:rPr>
      </w:pPr>
    </w:p>
    <w:sdt>
      <w:sdtPr>
        <w:rPr>
          <w:rFonts w:ascii="宋体" w:hAnsi="宋体" w:eastAsia="宋体" w:cs="Times New Roman"/>
          <w:b/>
          <w:bCs/>
          <w:color w:val="000000"/>
          <w:spacing w:val="0"/>
          <w:w w:val="100"/>
          <w:position w:val="0"/>
          <w:sz w:val="21"/>
          <w:szCs w:val="24"/>
          <w:highlight w:val="none"/>
          <w:shd w:val="clear" w:color="auto" w:fill="auto"/>
          <w:lang w:val="en-US" w:eastAsia="en-US" w:bidi="en-US"/>
        </w:rPr>
        <w:id w:val="147477967"/>
        <w15:color w:val="DBDBDB"/>
        <w:docPartObj>
          <w:docPartGallery w:val="Table of Contents"/>
          <w:docPartUnique/>
        </w:docPartObj>
      </w:sdtPr>
      <w:sdtEndPr>
        <w:rPr>
          <w:rFonts w:hint="eastAsia" w:ascii="仿宋" w:hAnsi="仿宋" w:eastAsia="仿宋" w:cs="仿宋"/>
          <w:b/>
          <w:bCs/>
          <w:color w:val="auto"/>
          <w:spacing w:val="0"/>
          <w:w w:val="100"/>
          <w:position w:val="0"/>
          <w:sz w:val="24"/>
          <w:szCs w:val="30"/>
          <w:highlight w:val="none"/>
          <w:shd w:val="clear" w:color="auto" w:fill="auto"/>
          <w:lang w:val="en-US" w:eastAsia="en-US" w:bidi="en-US"/>
        </w:rPr>
      </w:sdtEndPr>
      <w:sdtContent>
        <w:p>
          <w:pPr>
            <w:spacing w:before="0" w:beforeLines="0" w:after="0" w:afterLines="0" w:line="240" w:lineRule="auto"/>
            <w:ind w:left="0" w:leftChars="0" w:right="0" w:rightChars="0" w:firstLine="0" w:firstLineChars="0"/>
            <w:jc w:val="center"/>
            <w:rPr>
              <w:rFonts w:ascii="宋体" w:hAnsi="宋体" w:eastAsia="宋体"/>
              <w:b/>
              <w:bCs/>
              <w:sz w:val="40"/>
              <w:szCs w:val="48"/>
              <w:highlight w:val="none"/>
            </w:rPr>
          </w:pPr>
          <w:r>
            <w:rPr>
              <w:rFonts w:ascii="宋体" w:hAnsi="宋体" w:eastAsia="宋体"/>
              <w:b/>
              <w:bCs/>
              <w:sz w:val="40"/>
              <w:szCs w:val="48"/>
              <w:highlight w:val="none"/>
            </w:rPr>
            <w:t>目</w:t>
          </w:r>
          <w:r>
            <w:rPr>
              <w:rFonts w:hint="eastAsia" w:ascii="宋体" w:hAnsi="宋体" w:eastAsia="宋体"/>
              <w:b/>
              <w:bCs/>
              <w:sz w:val="40"/>
              <w:szCs w:val="48"/>
              <w:highlight w:val="none"/>
              <w:lang w:val="en-US" w:eastAsia="zh-CN"/>
            </w:rPr>
            <w:t xml:space="preserve">  </w:t>
          </w:r>
          <w:r>
            <w:rPr>
              <w:rFonts w:ascii="宋体" w:hAnsi="宋体" w:eastAsia="宋体"/>
              <w:b/>
              <w:bCs/>
              <w:sz w:val="40"/>
              <w:szCs w:val="48"/>
              <w:highlight w:val="none"/>
            </w:rPr>
            <w:t>录</w:t>
          </w:r>
        </w:p>
        <w:p>
          <w:pPr>
            <w:pStyle w:val="30"/>
            <w:rPr>
              <w:rFonts w:ascii="宋体" w:hAnsi="宋体" w:eastAsia="宋体"/>
              <w:sz w:val="40"/>
              <w:szCs w:val="48"/>
              <w:highlight w:val="none"/>
            </w:rPr>
          </w:pPr>
        </w:p>
        <w:p>
          <w:pPr>
            <w:pStyle w:val="30"/>
            <w:rPr>
              <w:rFonts w:ascii="宋体" w:hAnsi="宋体" w:eastAsia="宋体"/>
              <w:sz w:val="40"/>
              <w:szCs w:val="48"/>
              <w:highlight w:val="none"/>
            </w:rPr>
          </w:pPr>
        </w:p>
        <w:p>
          <w:pPr>
            <w:pStyle w:val="18"/>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sz w:val="24"/>
              <w:szCs w:val="24"/>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TOC \o "1-3" \h \u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_Toc28070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第一部分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lang w:eastAsia="zh-CN"/>
            </w:rPr>
            <w:t>招标公告</w:t>
          </w:r>
          <w:r>
            <w:rPr>
              <w:sz w:val="24"/>
              <w:szCs w:val="24"/>
              <w:highlight w:val="none"/>
            </w:rPr>
            <w:tab/>
          </w:r>
          <w:r>
            <w:rPr>
              <w:sz w:val="24"/>
              <w:szCs w:val="24"/>
              <w:highlight w:val="none"/>
            </w:rPr>
            <w:fldChar w:fldCharType="begin"/>
          </w:r>
          <w:r>
            <w:rPr>
              <w:sz w:val="24"/>
              <w:szCs w:val="24"/>
              <w:highlight w:val="none"/>
            </w:rPr>
            <w:instrText xml:space="preserve"> PAGEREF _Toc28070 \h </w:instrText>
          </w:r>
          <w:r>
            <w:rPr>
              <w:sz w:val="24"/>
              <w:szCs w:val="24"/>
              <w:highlight w:val="none"/>
            </w:rPr>
            <w:fldChar w:fldCharType="separate"/>
          </w:r>
          <w:r>
            <w:rPr>
              <w:sz w:val="24"/>
              <w:szCs w:val="24"/>
              <w:highlight w:val="none"/>
            </w:rPr>
            <w:t>1</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8"/>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_Toc29207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第二部分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rPr>
            <w:t>供应商须知</w:t>
          </w:r>
          <w:r>
            <w:rPr>
              <w:sz w:val="24"/>
              <w:szCs w:val="24"/>
              <w:highlight w:val="none"/>
            </w:rPr>
            <w:tab/>
          </w:r>
          <w:r>
            <w:rPr>
              <w:sz w:val="24"/>
              <w:szCs w:val="24"/>
              <w:highlight w:val="none"/>
            </w:rPr>
            <w:fldChar w:fldCharType="begin"/>
          </w:r>
          <w:r>
            <w:rPr>
              <w:sz w:val="24"/>
              <w:szCs w:val="24"/>
              <w:highlight w:val="none"/>
            </w:rPr>
            <w:instrText xml:space="preserve"> PAGEREF _Toc29207 \h </w:instrText>
          </w:r>
          <w:r>
            <w:rPr>
              <w:sz w:val="24"/>
              <w:szCs w:val="24"/>
              <w:highlight w:val="none"/>
            </w:rPr>
            <w:fldChar w:fldCharType="separate"/>
          </w:r>
          <w:r>
            <w:rPr>
              <w:sz w:val="24"/>
              <w:szCs w:val="24"/>
              <w:highlight w:val="none"/>
            </w:rPr>
            <w:t>6</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6"/>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_Toc6150 </w:instrText>
          </w:r>
          <w:r>
            <w:rPr>
              <w:rFonts w:hint="eastAsia" w:ascii="仿宋" w:hAnsi="仿宋" w:eastAsia="仿宋" w:cs="仿宋"/>
              <w:sz w:val="24"/>
              <w:szCs w:val="32"/>
              <w:highlight w:val="none"/>
            </w:rPr>
            <w:fldChar w:fldCharType="separate"/>
          </w:r>
          <w:r>
            <w:rPr>
              <w:rFonts w:hint="eastAsia" w:ascii="仿宋" w:hAnsi="仿宋" w:eastAsia="仿宋" w:cs="仿宋"/>
              <w:bCs/>
              <w:sz w:val="24"/>
              <w:szCs w:val="28"/>
              <w:highlight w:val="none"/>
            </w:rPr>
            <w:t>第三</w:t>
          </w:r>
          <w:r>
            <w:rPr>
              <w:rFonts w:hint="eastAsia" w:ascii="仿宋" w:hAnsi="仿宋" w:eastAsia="仿宋" w:cs="仿宋"/>
              <w:bCs/>
              <w:sz w:val="24"/>
              <w:szCs w:val="28"/>
              <w:highlight w:val="none"/>
              <w:lang w:val="en-US" w:eastAsia="zh-CN"/>
            </w:rPr>
            <w:t>部分</w:t>
          </w:r>
          <w:r>
            <w:rPr>
              <w:rFonts w:hint="eastAsia" w:ascii="仿宋" w:hAnsi="仿宋" w:eastAsia="仿宋" w:cs="仿宋"/>
              <w:bCs/>
              <w:sz w:val="24"/>
              <w:szCs w:val="28"/>
              <w:highlight w:val="none"/>
            </w:rPr>
            <w:t xml:space="preserve">  评标办法</w:t>
          </w:r>
          <w:r>
            <w:rPr>
              <w:sz w:val="24"/>
              <w:szCs w:val="24"/>
              <w:highlight w:val="none"/>
            </w:rPr>
            <w:tab/>
          </w:r>
          <w:r>
            <w:rPr>
              <w:sz w:val="24"/>
              <w:szCs w:val="24"/>
              <w:highlight w:val="none"/>
            </w:rPr>
            <w:fldChar w:fldCharType="begin"/>
          </w:r>
          <w:r>
            <w:rPr>
              <w:sz w:val="24"/>
              <w:szCs w:val="24"/>
              <w:highlight w:val="none"/>
            </w:rPr>
            <w:instrText xml:space="preserve"> PAGEREF _Toc6150 \h </w:instrText>
          </w:r>
          <w:r>
            <w:rPr>
              <w:sz w:val="24"/>
              <w:szCs w:val="24"/>
              <w:highlight w:val="none"/>
            </w:rPr>
            <w:fldChar w:fldCharType="separate"/>
          </w:r>
          <w:r>
            <w:rPr>
              <w:sz w:val="24"/>
              <w:szCs w:val="24"/>
              <w:highlight w:val="none"/>
            </w:rPr>
            <w:t>40</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6"/>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_Toc29986 </w:instrText>
          </w:r>
          <w:r>
            <w:rPr>
              <w:rFonts w:hint="eastAsia" w:ascii="仿宋" w:hAnsi="仿宋" w:eastAsia="仿宋" w:cs="仿宋"/>
              <w:sz w:val="24"/>
              <w:szCs w:val="32"/>
              <w:highlight w:val="none"/>
            </w:rPr>
            <w:fldChar w:fldCharType="separate"/>
          </w:r>
          <w:r>
            <w:rPr>
              <w:rFonts w:hint="eastAsia" w:ascii="仿宋" w:hAnsi="仿宋" w:eastAsia="仿宋" w:cs="仿宋"/>
              <w:sz w:val="24"/>
              <w:szCs w:val="28"/>
              <w:highlight w:val="none"/>
              <w:lang w:val="en-US" w:eastAsia="zh-CN"/>
            </w:rPr>
            <w:t xml:space="preserve">第四部分 </w:t>
          </w:r>
          <w:r>
            <w:rPr>
              <w:rFonts w:hint="eastAsia" w:ascii="仿宋" w:hAnsi="仿宋" w:eastAsia="仿宋" w:cs="仿宋"/>
              <w:sz w:val="24"/>
              <w:szCs w:val="28"/>
              <w:highlight w:val="none"/>
            </w:rPr>
            <w:t xml:space="preserve"> 技术规格、数量及质量要求</w:t>
          </w:r>
          <w:r>
            <w:rPr>
              <w:sz w:val="24"/>
              <w:szCs w:val="24"/>
              <w:highlight w:val="none"/>
            </w:rPr>
            <w:tab/>
          </w:r>
          <w:r>
            <w:rPr>
              <w:sz w:val="24"/>
              <w:szCs w:val="24"/>
              <w:highlight w:val="none"/>
            </w:rPr>
            <w:fldChar w:fldCharType="begin"/>
          </w:r>
          <w:r>
            <w:rPr>
              <w:sz w:val="24"/>
              <w:szCs w:val="24"/>
              <w:highlight w:val="none"/>
            </w:rPr>
            <w:instrText xml:space="preserve"> PAGEREF _Toc29986 \h </w:instrText>
          </w:r>
          <w:r>
            <w:rPr>
              <w:sz w:val="24"/>
              <w:szCs w:val="24"/>
              <w:highlight w:val="none"/>
            </w:rPr>
            <w:fldChar w:fldCharType="separate"/>
          </w:r>
          <w:r>
            <w:rPr>
              <w:sz w:val="24"/>
              <w:szCs w:val="24"/>
              <w:highlight w:val="none"/>
            </w:rPr>
            <w:t>48</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6"/>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_Toc30467 </w:instrText>
          </w:r>
          <w:r>
            <w:rPr>
              <w:rFonts w:hint="eastAsia" w:ascii="仿宋" w:hAnsi="仿宋" w:eastAsia="仿宋" w:cs="仿宋"/>
              <w:sz w:val="24"/>
              <w:szCs w:val="32"/>
              <w:highlight w:val="none"/>
            </w:rPr>
            <w:fldChar w:fldCharType="separate"/>
          </w:r>
          <w:r>
            <w:rPr>
              <w:rFonts w:hint="eastAsia" w:ascii="仿宋" w:hAnsi="仿宋" w:eastAsia="仿宋" w:cs="仿宋"/>
              <w:bCs/>
              <w:sz w:val="24"/>
              <w:szCs w:val="36"/>
              <w:highlight w:val="none"/>
              <w:lang w:eastAsia="zh-CN"/>
            </w:rPr>
            <w:t>第五</w:t>
          </w:r>
          <w:r>
            <w:rPr>
              <w:rFonts w:hint="eastAsia" w:ascii="仿宋" w:hAnsi="仿宋" w:eastAsia="仿宋" w:cs="仿宋"/>
              <w:bCs/>
              <w:sz w:val="24"/>
              <w:szCs w:val="36"/>
              <w:highlight w:val="none"/>
              <w:lang w:val="en-US" w:eastAsia="zh-CN"/>
            </w:rPr>
            <w:t xml:space="preserve">部分 </w:t>
          </w:r>
          <w:r>
            <w:rPr>
              <w:rFonts w:hint="eastAsia" w:ascii="仿宋" w:hAnsi="仿宋" w:eastAsia="仿宋" w:cs="仿宋"/>
              <w:bCs/>
              <w:sz w:val="24"/>
              <w:szCs w:val="36"/>
              <w:highlight w:val="none"/>
            </w:rPr>
            <w:t>合同条款及格式</w:t>
          </w:r>
          <w:r>
            <w:rPr>
              <w:sz w:val="24"/>
              <w:szCs w:val="24"/>
              <w:highlight w:val="none"/>
            </w:rPr>
            <w:tab/>
          </w:r>
          <w:r>
            <w:rPr>
              <w:sz w:val="24"/>
              <w:szCs w:val="24"/>
              <w:highlight w:val="none"/>
            </w:rPr>
            <w:fldChar w:fldCharType="begin"/>
          </w:r>
          <w:r>
            <w:rPr>
              <w:sz w:val="24"/>
              <w:szCs w:val="24"/>
              <w:highlight w:val="none"/>
            </w:rPr>
            <w:instrText xml:space="preserve"> PAGEREF _Toc30467 \h </w:instrText>
          </w:r>
          <w:r>
            <w:rPr>
              <w:sz w:val="24"/>
              <w:szCs w:val="24"/>
              <w:highlight w:val="none"/>
            </w:rPr>
            <w:fldChar w:fldCharType="separate"/>
          </w:r>
          <w:r>
            <w:rPr>
              <w:sz w:val="24"/>
              <w:szCs w:val="24"/>
              <w:highlight w:val="none"/>
            </w:rPr>
            <w:t>72</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8"/>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_Toc21488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w:t>
          </w:r>
          <w:r>
            <w:rPr>
              <w:rFonts w:hint="eastAsia" w:ascii="仿宋" w:hAnsi="仿宋" w:eastAsia="仿宋" w:cs="仿宋"/>
              <w:bCs/>
              <w:spacing w:val="0"/>
              <w:w w:val="100"/>
              <w:position w:val="0"/>
              <w:sz w:val="24"/>
              <w:szCs w:val="36"/>
              <w:highlight w:val="none"/>
              <w:lang w:eastAsia="zh-CN"/>
            </w:rPr>
            <w:t>六</w:t>
          </w:r>
          <w:r>
            <w:rPr>
              <w:rFonts w:hint="eastAsia" w:ascii="仿宋" w:hAnsi="仿宋" w:eastAsia="仿宋" w:cs="仿宋"/>
              <w:bCs/>
              <w:spacing w:val="0"/>
              <w:w w:val="100"/>
              <w:position w:val="0"/>
              <w:sz w:val="24"/>
              <w:szCs w:val="36"/>
              <w:highlight w:val="none"/>
            </w:rPr>
            <w:t>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rPr>
            <w:t>投标文件格式</w:t>
          </w:r>
          <w:r>
            <w:rPr>
              <w:sz w:val="24"/>
              <w:szCs w:val="24"/>
              <w:highlight w:val="none"/>
            </w:rPr>
            <w:tab/>
          </w:r>
          <w:r>
            <w:rPr>
              <w:sz w:val="24"/>
              <w:szCs w:val="24"/>
              <w:highlight w:val="none"/>
            </w:rPr>
            <w:fldChar w:fldCharType="begin"/>
          </w:r>
          <w:r>
            <w:rPr>
              <w:sz w:val="24"/>
              <w:szCs w:val="24"/>
              <w:highlight w:val="none"/>
            </w:rPr>
            <w:instrText xml:space="preserve"> PAGEREF _Toc21488 \h </w:instrText>
          </w:r>
          <w:r>
            <w:rPr>
              <w:sz w:val="24"/>
              <w:szCs w:val="24"/>
              <w:highlight w:val="none"/>
            </w:rPr>
            <w:fldChar w:fldCharType="separate"/>
          </w:r>
          <w:r>
            <w:rPr>
              <w:sz w:val="24"/>
              <w:szCs w:val="24"/>
              <w:highlight w:val="none"/>
            </w:rPr>
            <w:t>79</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8"/>
            <w:tabs>
              <w:tab w:val="right" w:leader="hyphen" w:pos="9746"/>
            </w:tabs>
            <w:rPr>
              <w:highlight w:val="none"/>
            </w:rPr>
          </w:pPr>
        </w:p>
        <w:p>
          <w:pPr>
            <w:keepNext w:val="0"/>
            <w:keepLines w:val="0"/>
            <w:pageBreakBefore w:val="0"/>
            <w:widowControl/>
            <w:kinsoku/>
            <w:wordWrap/>
            <w:overflowPunct/>
            <w:topLinePunct w:val="0"/>
            <w:autoSpaceDE/>
            <w:autoSpaceDN/>
            <w:bidi w:val="0"/>
            <w:adjustRightInd/>
            <w:snapToGrid/>
            <w:spacing w:line="480" w:lineRule="auto"/>
            <w:jc w:val="left"/>
            <w:textAlignment w:val="auto"/>
            <w:outlineLvl w:val="9"/>
            <w:rPr>
              <w:rFonts w:hint="eastAsia" w:ascii="仿宋" w:hAnsi="仿宋" w:eastAsia="仿宋" w:cs="仿宋"/>
              <w:color w:val="auto"/>
              <w:sz w:val="30"/>
              <w:szCs w:val="30"/>
              <w:highlight w:val="none"/>
            </w:rPr>
          </w:pPr>
          <w:r>
            <w:rPr>
              <w:rFonts w:hint="eastAsia" w:ascii="仿宋" w:hAnsi="仿宋" w:eastAsia="仿宋" w:cs="仿宋"/>
              <w:color w:val="auto"/>
              <w:szCs w:val="32"/>
              <w:highlight w:val="none"/>
            </w:rPr>
            <w:fldChar w:fldCharType="end"/>
          </w:r>
        </w:p>
      </w:sdtContent>
    </w:sdt>
    <w:p>
      <w:pPr>
        <w:pStyle w:val="2"/>
        <w:numPr>
          <w:ilvl w:val="0"/>
          <w:numId w:val="0"/>
        </w:numPr>
        <w:ind w:leftChars="0" w:right="0" w:rightChars="0"/>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lang w:val="en-US" w:eastAsia="zh-CN"/>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pStyle w:val="34"/>
        <w:keepNext/>
        <w:keepLines/>
        <w:widowControl w:val="0"/>
        <w:shd w:val="clear" w:color="auto" w:fill="auto"/>
        <w:bidi w:val="0"/>
        <w:spacing w:before="120" w:after="300" w:line="240" w:lineRule="auto"/>
        <w:ind w:left="0" w:right="0" w:firstLine="0"/>
        <w:jc w:val="center"/>
        <w:outlineLvl w:val="9"/>
        <w:rPr>
          <w:rFonts w:hint="eastAsia" w:ascii="仿宋" w:hAnsi="仿宋" w:eastAsia="仿宋" w:cs="仿宋"/>
          <w:b/>
          <w:bCs/>
          <w:color w:val="auto"/>
          <w:spacing w:val="0"/>
          <w:w w:val="100"/>
          <w:position w:val="0"/>
          <w:sz w:val="36"/>
          <w:szCs w:val="36"/>
          <w:highlight w:val="none"/>
        </w:rPr>
        <w:sectPr>
          <w:footerReference r:id="rId7" w:type="default"/>
          <w:pgSz w:w="11906" w:h="16838"/>
          <w:pgMar w:top="1440" w:right="1080" w:bottom="1440" w:left="1080" w:header="851" w:footer="992" w:gutter="0"/>
          <w:pgNumType w:fmt="decimal" w:start="1"/>
          <w:cols w:space="720" w:num="1"/>
          <w:docGrid w:type="linesAndChars" w:linePitch="312" w:charSpace="0"/>
        </w:sectPr>
      </w:pPr>
    </w:p>
    <w:p>
      <w:pPr>
        <w:pStyle w:val="34"/>
        <w:keepNext/>
        <w:keepLines/>
        <w:widowControl w:val="0"/>
        <w:shd w:val="clear" w:color="auto" w:fill="auto"/>
        <w:bidi w:val="0"/>
        <w:spacing w:before="120" w:after="300" w:line="240" w:lineRule="auto"/>
        <w:ind w:left="0" w:right="0" w:firstLine="0"/>
        <w:jc w:val="center"/>
        <w:outlineLvl w:val="0"/>
        <w:rPr>
          <w:rFonts w:hint="eastAsia" w:ascii="仿宋" w:hAnsi="仿宋" w:eastAsia="仿宋" w:cs="仿宋"/>
          <w:b/>
          <w:bCs/>
          <w:color w:val="auto"/>
          <w:sz w:val="36"/>
          <w:szCs w:val="36"/>
          <w:highlight w:val="none"/>
          <w:lang w:eastAsia="zh-CN"/>
        </w:rPr>
      </w:pPr>
      <w:bookmarkStart w:id="0" w:name="_Toc10738"/>
      <w:bookmarkStart w:id="1" w:name="_Toc12194"/>
      <w:bookmarkStart w:id="2" w:name="_Toc28070"/>
      <w:r>
        <w:rPr>
          <w:rFonts w:hint="eastAsia" w:ascii="仿宋" w:hAnsi="仿宋" w:eastAsia="仿宋" w:cs="仿宋"/>
          <w:b/>
          <w:bCs/>
          <w:color w:val="auto"/>
          <w:spacing w:val="0"/>
          <w:w w:val="100"/>
          <w:position w:val="0"/>
          <w:sz w:val="36"/>
          <w:szCs w:val="36"/>
          <w:highlight w:val="none"/>
        </w:rPr>
        <w:t>第一部分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lang w:eastAsia="zh-CN"/>
        </w:rPr>
        <w:t>招标公告</w:t>
      </w:r>
      <w:bookmarkEnd w:id="0"/>
      <w:bookmarkEnd w:id="1"/>
      <w:bookmarkEnd w:id="2"/>
    </w:p>
    <w:p>
      <w:pPr>
        <w:keepNext w:val="0"/>
        <w:keepLines w:val="0"/>
        <w:pageBreakBefore w:val="0"/>
        <w:shd w:val="clear" w:color="auto" w:fill="auto"/>
        <w:kinsoku/>
        <w:wordWrap/>
        <w:overflowPunct/>
        <w:topLinePunct w:val="0"/>
        <w:autoSpaceDE/>
        <w:autoSpaceDN/>
        <w:bidi w:val="0"/>
        <w:adjustRightInd w:val="0"/>
        <w:spacing w:line="120" w:lineRule="auto"/>
        <w:jc w:val="center"/>
        <w:rPr>
          <w:rFonts w:hint="eastAsia" w:ascii="仿宋" w:hAnsi="仿宋" w:eastAsia="仿宋" w:cs="仿宋"/>
          <w:b/>
          <w:color w:val="000000"/>
          <w:sz w:val="28"/>
          <w:szCs w:val="28"/>
          <w:highlight w:val="none"/>
          <w:shd w:val="clear" w:color="auto" w:fill="FFFFFF"/>
        </w:rPr>
      </w:pPr>
      <w:bookmarkStart w:id="3" w:name="_Toc35393789"/>
      <w:bookmarkStart w:id="4" w:name="_Toc28359001"/>
      <w:r>
        <w:rPr>
          <w:rFonts w:hint="eastAsia" w:ascii="仿宋" w:hAnsi="仿宋" w:eastAsia="仿宋" w:cs="仿宋"/>
          <w:b/>
          <w:color w:val="000000"/>
          <w:sz w:val="28"/>
          <w:szCs w:val="28"/>
          <w:highlight w:val="none"/>
          <w:shd w:val="clear" w:color="auto" w:fill="FFFFFF"/>
          <w:lang w:val="en-US" w:eastAsia="zh-CN"/>
        </w:rPr>
        <w:t>阿图什市街道办事处社区卫生服务中心项目设备采购项目</w:t>
      </w:r>
      <w:r>
        <w:rPr>
          <w:rFonts w:hint="eastAsia" w:ascii="仿宋" w:hAnsi="仿宋" w:eastAsia="仿宋" w:cs="仿宋"/>
          <w:b/>
          <w:color w:val="000000"/>
          <w:sz w:val="28"/>
          <w:szCs w:val="28"/>
          <w:highlight w:val="none"/>
          <w:shd w:val="clear" w:color="auto" w:fill="FFFFFF"/>
        </w:rPr>
        <w:t>公开招标公告</w:t>
      </w:r>
      <w:bookmarkEnd w:id="3"/>
      <w:bookmarkEnd w:id="4"/>
    </w:p>
    <w:p>
      <w:pPr>
        <w:pStyle w:val="31"/>
        <w:keepNext w:val="0"/>
        <w:keepLines w:val="0"/>
        <w:pageBreakBefore w:val="0"/>
        <w:shd w:val="clear" w:color="auto" w:fill="auto"/>
        <w:kinsoku/>
        <w:wordWrap/>
        <w:overflowPunct/>
        <w:topLinePunct w:val="0"/>
        <w:autoSpaceDE/>
        <w:autoSpaceDN/>
        <w:bidi w:val="0"/>
        <w:spacing w:line="120" w:lineRule="auto"/>
        <w:rPr>
          <w:rFonts w:hint="eastAsia" w:ascii="宋体" w:hAnsi="宋体" w:eastAsia="宋体" w:cs="宋体"/>
          <w:color w:val="000000"/>
          <w:sz w:val="18"/>
          <w:szCs w:val="18"/>
          <w:highlight w:val="none"/>
        </w:rPr>
      </w:pPr>
    </w:p>
    <w:p>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120" w:lineRule="auto"/>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项目概况</w:t>
      </w:r>
    </w:p>
    <w:p>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120" w:lineRule="auto"/>
        <w:ind w:firstLine="480" w:firstLineChars="200"/>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阿图什市街道办事处社区卫生服务中心项目设备采购项目招标项目的潜在投标人应在供应商登陆政采云平台http://www.zcygov.cn/，在线申请获取招标文件（登录政府采购云平台 → 项目采购 → 获取招标文件→申请，审核通过后可下载招标文件，如有操作性问题，可与政采云在线客服进行咨询，咨询电话：400-881-7190）。获取招标文件，并于2022年10月31日 10:30（北京时间）前递交投标文件。</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一、项目基本情况</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项目编号：ATSSJYZX-2022082</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项目名称：阿图什市街道办事处社区卫生服务中心项目设备采购项目</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预算金额（元）：19587800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最高限价（元）：5567400,4686300，4624100，4710000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标项一:</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标项名称:阿图什市街道办事处社区卫生服务中心项目设备采购项目（1包）</w:t>
      </w:r>
    </w:p>
    <w:p>
      <w:pPr>
        <w:pStyle w:val="30"/>
        <w:rPr>
          <w:rFonts w:hint="default" w:ascii="仿宋" w:hAnsi="仿宋" w:eastAsia="仿宋" w:cs="仿宋"/>
          <w:color w:val="auto"/>
          <w:sz w:val="24"/>
          <w:szCs w:val="24"/>
          <w:highlight w:val="none"/>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预算金额（元）:5567400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数字DR机、DR辐射检测仪、彩色超声波检测仪、离心机、负压吸痰器、空气消毒机、除颤仪、心电检测仪、1000L冷藏柜、红外线体温测量仪、治疗床、口腔综合治疗椅(含正负压器)、五官科检测套装、高压灭菌消毒设施、十二导联心电图、外科套装急救箱、内科套装急救箱、白带检测仪；具体详见参数附件或招标文件。</w:t>
      </w:r>
    </w:p>
    <w:p>
      <w:pPr>
        <w:pStyle w:val="30"/>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标项二:</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标项名称:阿图什市街道办事处社区卫生服务中心项目设备采购项目（2包）</w:t>
      </w:r>
    </w:p>
    <w:p>
      <w:pPr>
        <w:pStyle w:val="30"/>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 4686300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简要规格描述或项目基本概况介绍、用途：彩色超声波检测仪、五分类血常规仪、尿液分析仪、血红蛋白机、读卡机、操作台、扫描枪、胎心监测仪、制氧机；具体详见参数附件或招标文件。</w:t>
      </w:r>
    </w:p>
    <w:p>
      <w:pPr>
        <w:pStyle w:val="30"/>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标项三:</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标项名称:阿图什市街道办事处社区卫生服务中心项目设备采购项目（3包）</w:t>
      </w:r>
    </w:p>
    <w:p>
      <w:pPr>
        <w:pStyle w:val="30"/>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预算金额（元）:4624100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生化仪、动态血压仪、动态心电图、疫苗专用冰箱、足疗沙发、电脑中频治疗仪、红外光灸疗机（局部）、红外光灸疗机（全身）、深层肌肉刺激仪、艾灸移动吸烟机、蒸汽煎药机、盆腔治疗仪、中药雾化吸入机、牵引床、中药熏蒸调理舱、玉疗床、盐疗床、沙疗床、微波治疗仪、妇科治疗床、3D远红外养生仪、碧波庭养生仪、石熏烯量子太空舱、TDP(特定电磁波治疗器)、足疗仪、病床配套、超频正骨枪、电机筋膜枪；具体详见参数附件或招标文件。</w:t>
      </w:r>
    </w:p>
    <w:p>
      <w:pPr>
        <w:pStyle w:val="30"/>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标项四:</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标项名称:阿图什市街道办事处社区卫生服务中心项目设备采购项目（4包）</w:t>
      </w:r>
    </w:p>
    <w:p>
      <w:pPr>
        <w:pStyle w:val="30"/>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预算金额（元）:4710000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简要规格描述或项目基本概况介绍、用途：身份证识别道闸、激光过包安检机、智慧疫苗接种数字系统、中央空调、电视机、电脑、打印、复印一体机、室外强力巨彩Q5大屏；具体详见参数附件或招标文件。</w:t>
      </w:r>
    </w:p>
    <w:p>
      <w:pPr>
        <w:pStyle w:val="30"/>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合同履约期限：标项 1、2、3、4，自合同签订之日起15天内完成供货。</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本项目（否）接受联合体投标。</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二、申请人的资格要求：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1.满足《中华人民共和国政府采购法》第二十二条规定；</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落实政府采购政策需满足的资格要求：标项1、2、3、4：本项目为非专门面向中小企业（含中型、小型、微型企业）采购项目，根据《政府采购促进中小企业发展管理办法》（财库【2020】46号）得规定，评标时将给予此类企业进行价格10%得优惠，用优惠后的价格参与评审。</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3.本项目的特定资格要求：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【标项1、2、3、4】</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（1）具备三证合一营业执照副本；</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（2）法定代表人投标需提供法定代表人资格证明书，委托代理人投标需提供法定代表人授权委托书；</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三、获取招标文件</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时间：2022年 10月10日至2022年 10 月21日，每天上午10:00至14:00，下午16:00至19:30（北京时间，法定节假日除外）</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bookmarkStart w:id="133" w:name="_GoBack"/>
      <w:bookmarkEnd w:id="133"/>
      <w:r>
        <w:rPr>
          <w:rFonts w:hint="eastAsia" w:ascii="仿宋" w:hAnsi="仿宋" w:eastAsia="仿宋" w:cs="仿宋"/>
          <w:color w:val="auto"/>
          <w:sz w:val="24"/>
          <w:szCs w:val="24"/>
          <w:highlight w:val="none"/>
          <w:lang w:val="en-US" w:eastAsia="zh-CN"/>
        </w:rPr>
        <w:t>地点：供应商登陆政采云平台http://www.zcygov.cn/，在线申请获取招标文件（登录政府采购云平台 → 项目采购 → 获取招标文件→申请，审核通过后可下载招标文件，如有操作性问题，可与政采云在线客服进行咨询，咨询电话：400-881-7190）。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方式：（1）线上获取（登录政府采购云平台 → 项目采购 → 获取招标文件→ 申请，审核通过后可下载招标文件）。本次招标不提供纸质版招标文件。（2）供应商获取招标文件前应注册成为政府采购云平台正式供应商。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售价（元）：0</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四、提交投标文件截止时间、开标时间和地点</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提交投标文件截止时间：2022年 10月31日 10:30（北京时间）</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投标地点：新疆政府采购云平台（www.zcygov.cn）</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开标时间：2022年 10月31日 10:30（北京时间）</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开标地点：新疆政府采购云平台（www.zcygov.cn）</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五、公告期限</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自本公告发布之日起5个工作日。</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六、其他补充事宜</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5.供应商在开标时须使用制作加密电子投标文件所使用的CA锁及电脑，电脑须提前配置好浏览器（建议使用谷歌浏览器），以便开标时解锁。</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7.为了保证开评标顺利进行，政采云线上开标功能完全实现，供应商开标所使用的电脑设备须具有视频及语音功能。</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申请获取采购文件前须上传的资格证明文件扫描件有：（1）具备三证合一营业执照副本；（2）法定代表人投标需提供法定代表人资格证明书，委托代理人投标需提供法定代表人授权委托书；（3）参加采购活动前三年内，在经营活动中没有重大违法记录，供应商须提供 “信用中国”网站（http://www.creditchina.gov.cn/）、“中国政府采购网”网站（http://www.ccgp.gov.cn）无违法违规行为的查询纪录（提供查询结果网页截图并加盖供应商公章）；（4）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5).需注明所投标段。</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特别提示：</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1、超过200万元的货物和服务采购项目、超过400万元的工程采购项目中适宜由中小企业提供的，预留该部分采购项目预算总额的40%以上专门面向中小企业采购，其中预留给小微企业的比例不低于60%。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七、对本次采购提出询问，请按以下方式联系</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1.采购人信息</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 称：阿图什市卫生健康委员会</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址：克州阿图什市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联系方式：13345373958</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2.采购代理机构信息</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 称：新疆天勤工程管理有限公司</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址：克州阿图什市迎宾路80号三楼</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联系方式：13779615026</w:t>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ab/>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3.项目联系方式</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项目联系人：王先生</w:t>
      </w:r>
    </w:p>
    <w:p>
      <w:pPr>
        <w:shd w:val="clear" w:color="auto" w:fill="auto"/>
        <w:spacing w:line="360" w:lineRule="auto"/>
        <w:jc w:val="left"/>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电 话：13779615026</w:t>
      </w:r>
    </w:p>
    <w:p>
      <w:pPr>
        <w:rPr>
          <w:rFonts w:hint="eastAsia" w:ascii="仿宋" w:hAnsi="仿宋" w:eastAsia="仿宋" w:cs="仿宋"/>
          <w:b/>
          <w:bCs/>
          <w:color w:val="auto"/>
          <w:spacing w:val="0"/>
          <w:w w:val="100"/>
          <w:position w:val="0"/>
          <w:sz w:val="36"/>
          <w:szCs w:val="36"/>
          <w:highlight w:val="none"/>
        </w:rPr>
      </w:pPr>
      <w:bookmarkStart w:id="5" w:name="_Toc29207"/>
      <w:bookmarkStart w:id="6" w:name="_Toc7317"/>
      <w:bookmarkStart w:id="7" w:name="_Toc20056"/>
      <w:r>
        <w:rPr>
          <w:rFonts w:hint="eastAsia" w:ascii="仿宋" w:hAnsi="仿宋" w:eastAsia="仿宋" w:cs="仿宋"/>
          <w:b/>
          <w:bCs/>
          <w:color w:val="auto"/>
          <w:spacing w:val="0"/>
          <w:w w:val="100"/>
          <w:position w:val="0"/>
          <w:sz w:val="36"/>
          <w:szCs w:val="36"/>
          <w:highlight w:val="none"/>
        </w:rPr>
        <w:br w:type="page"/>
      </w:r>
    </w:p>
    <w:p>
      <w:pPr>
        <w:pStyle w:val="34"/>
        <w:keepNext/>
        <w:keepLines/>
        <w:pageBreakBefore w:val="0"/>
        <w:widowControl w:val="0"/>
        <w:shd w:val="clear" w:color="auto" w:fill="auto"/>
        <w:kinsoku/>
        <w:wordWrap/>
        <w:overflowPunct/>
        <w:topLinePunct w:val="0"/>
        <w:autoSpaceDE/>
        <w:autoSpaceDN/>
        <w:bidi w:val="0"/>
        <w:adjustRightInd/>
        <w:snapToGrid/>
        <w:spacing w:before="0" w:after="240" w:line="200" w:lineRule="atLeast"/>
        <w:ind w:left="0" w:right="0" w:firstLine="0"/>
        <w:jc w:val="center"/>
        <w:textAlignment w:val="auto"/>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pacing w:val="0"/>
          <w:w w:val="100"/>
          <w:position w:val="0"/>
          <w:sz w:val="36"/>
          <w:szCs w:val="36"/>
          <w:highlight w:val="none"/>
        </w:rPr>
        <w:t>第二部分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rPr>
        <w:t>供应商须知</w:t>
      </w:r>
      <w:bookmarkEnd w:id="5"/>
      <w:bookmarkEnd w:id="6"/>
      <w:bookmarkEnd w:id="7"/>
    </w:p>
    <w:p>
      <w:pPr>
        <w:pStyle w:val="35"/>
        <w:keepNext w:val="0"/>
        <w:keepLines w:val="0"/>
        <w:pageBreakBefore w:val="0"/>
        <w:widowControl w:val="0"/>
        <w:shd w:val="clear" w:color="auto" w:fill="auto"/>
        <w:kinsoku/>
        <w:wordWrap/>
        <w:overflowPunct/>
        <w:topLinePunct w:val="0"/>
        <w:autoSpaceDE/>
        <w:autoSpaceDN/>
        <w:bidi w:val="0"/>
        <w:adjustRightInd/>
        <w:snapToGrid/>
        <w:spacing w:before="0" w:after="0" w:line="120" w:lineRule="auto"/>
        <w:ind w:right="0"/>
        <w:jc w:val="center"/>
        <w:textAlignment w:val="auto"/>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4"/>
          <w:szCs w:val="24"/>
          <w:highlight w:val="none"/>
          <w:lang w:eastAsia="zh-CN"/>
        </w:rPr>
        <w:t>供应商</w:t>
      </w:r>
      <w:r>
        <w:rPr>
          <w:rFonts w:hint="eastAsia" w:ascii="仿宋" w:hAnsi="仿宋" w:eastAsia="仿宋" w:cs="仿宋"/>
          <w:b/>
          <w:bCs/>
          <w:color w:val="auto"/>
          <w:spacing w:val="0"/>
          <w:w w:val="100"/>
          <w:position w:val="0"/>
          <w:sz w:val="24"/>
          <w:szCs w:val="24"/>
          <w:highlight w:val="none"/>
        </w:rPr>
        <w:t>须知前附表</w:t>
      </w:r>
    </w:p>
    <w:tbl>
      <w:tblPr>
        <w:tblStyle w:val="23"/>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720"/>
        <w:gridCol w:w="7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 号</w:t>
            </w:r>
          </w:p>
        </w:tc>
        <w:tc>
          <w:tcPr>
            <w:tcW w:w="1720"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名  称</w:t>
            </w:r>
          </w:p>
        </w:tc>
        <w:tc>
          <w:tcPr>
            <w:tcW w:w="7900" w:type="dxa"/>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1720" w:type="dxa"/>
            <w:noWrap w:val="0"/>
            <w:vAlign w:val="center"/>
          </w:tcPr>
          <w:p>
            <w:pPr>
              <w:shd w:val="clear" w:color="auto" w:fill="auto"/>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w:t>
            </w:r>
          </w:p>
          <w:p>
            <w:pPr>
              <w:shd w:val="clear" w:color="auto" w:fill="auto"/>
              <w:spacing w:line="360" w:lineRule="auto"/>
              <w:jc w:val="center"/>
              <w:outlineLvl w:val="9"/>
              <w:rPr>
                <w:rFonts w:hint="eastAsia"/>
                <w:color w:val="auto"/>
                <w:highlight w:val="none"/>
                <w:lang w:val="en-US" w:eastAsia="zh-CN"/>
              </w:rPr>
            </w:pPr>
            <w:r>
              <w:rPr>
                <w:rFonts w:hint="eastAsia" w:ascii="仿宋" w:hAnsi="仿宋" w:eastAsia="仿宋" w:cs="仿宋"/>
                <w:color w:val="auto"/>
                <w:sz w:val="24"/>
                <w:szCs w:val="24"/>
                <w:highlight w:val="none"/>
                <w:lang w:val="en-US" w:eastAsia="zh-CN"/>
              </w:rPr>
              <w:t>项目编号</w:t>
            </w:r>
          </w:p>
          <w:p>
            <w:pPr>
              <w:shd w:val="clear" w:color="auto" w:fill="auto"/>
              <w:spacing w:line="360" w:lineRule="auto"/>
              <w:jc w:val="center"/>
              <w:outlineLvl w:val="9"/>
              <w:rPr>
                <w:rFonts w:hint="eastAsia"/>
                <w:color w:val="auto"/>
                <w:highlight w:val="none"/>
                <w:lang w:val="en-US" w:eastAsia="zh-CN"/>
              </w:rPr>
            </w:pPr>
            <w:r>
              <w:rPr>
                <w:rFonts w:hint="eastAsia" w:ascii="仿宋" w:hAnsi="仿宋" w:eastAsia="仿宋" w:cs="仿宋"/>
                <w:color w:val="auto"/>
                <w:sz w:val="24"/>
                <w:szCs w:val="24"/>
                <w:highlight w:val="none"/>
                <w:lang w:val="en-US" w:eastAsia="zh-CN"/>
              </w:rPr>
              <w:t>采购内容</w:t>
            </w:r>
          </w:p>
          <w:p>
            <w:pPr>
              <w:shd w:val="clear" w:color="auto" w:fill="auto"/>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供货期</w:t>
            </w:r>
          </w:p>
        </w:tc>
        <w:tc>
          <w:tcPr>
            <w:tcW w:w="7900" w:type="dxa"/>
            <w:noWrap w:val="0"/>
            <w:vAlign w:val="center"/>
          </w:tcPr>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项目名称：阿图什市街道办事处社区卫生服务中心项目设备采购项目（3包）</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项目编号：ATSSJYZX-2022082-3</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内容：生化仪、动态血压仪、动态心电图、疫苗专用冰箱、足疗沙发、电脑中频治疗仪、红外光灸疗机（局部）、红外光灸疗机（全身）、深层肌肉刺激仪、艾灸移动吸烟机、蒸汽煎药机、盆腔治疗仪、中药雾化吸入机、牵引床、中药熏蒸调理舱、玉疗床、盐疗床、沙疗床、微波治疗仪、妇科治疗床、3D远红外养生仪、碧波庭养生仪、石熏烯量子太空舱、TDP(特定电磁波治疗器)、足疗仪、病床配套、超频正骨枪、电机筋膜枪；具体详见参数附件或招标文件。</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供货期：自合同签订之日起15天内完成供货。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采购人信息</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名  称：阿图什市卫生健康委员会</w:t>
            </w:r>
          </w:p>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联系人：胡先生       电  话：13345373958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采购代理机构</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名  称：新疆天勤工程管理有限公司</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地  址：克州阿图什市迎宾路80号三楼 </w:t>
            </w:r>
          </w:p>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联系人：王</w:t>
            </w:r>
            <w:r>
              <w:rPr>
                <w:rFonts w:hint="eastAsia" w:ascii="仿宋" w:hAnsi="仿宋" w:eastAsia="仿宋" w:cs="仿宋"/>
                <w:b w:val="0"/>
                <w:color w:val="auto"/>
                <w:kern w:val="2"/>
                <w:sz w:val="24"/>
                <w:szCs w:val="24"/>
                <w:highlight w:val="none"/>
                <w:lang w:val="en-US" w:eastAsia="zh-CN" w:bidi="ar-SA"/>
              </w:rPr>
              <w:t>先生</w:t>
            </w:r>
            <w:r>
              <w:rPr>
                <w:rFonts w:hint="eastAsia" w:ascii="仿宋" w:hAnsi="仿宋" w:eastAsia="仿宋" w:cs="仿宋"/>
                <w:b w:val="0"/>
                <w:bCs w:val="0"/>
                <w:color w:val="auto"/>
                <w:sz w:val="24"/>
                <w:szCs w:val="24"/>
                <w:highlight w:val="none"/>
                <w:lang w:val="en-US" w:eastAsia="zh-CN"/>
              </w:rPr>
              <w:t xml:space="preserve">       电  话：13779615026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最终交货地点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资格要求</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1.满足《中华人民共和国政府采购法》第二十二条规定；</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落实政府采购政策需满足的资格要求：标项1、2、3、4：本项目为非专门面向中小企业（含中型、小型、微型企业）采购项目，根据《政府采购促进中小企业发展管理办法》（财库【2020】46号）得规定，评标时将给予此类企业进行价格10%得优惠，用优惠后的价格参与评审。</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3.本项目的特定资格要求：</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（1）具备三证合一营业执照副本；</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（2）法定代表人投标需提供法定代表人资格证明书，委托代理人投标需提供法定代表人授权委托书；</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（4）投标企业须提供投标人（被授权在职人员）近期社保证明</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5）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资金来源</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一般债券资金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7</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招标方式</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公开招标(本项目采用网上电子招投标)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8</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供应商信用查询</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1、查询渠道：信用中国（网址：http://www.creditchina.gov.cn）、中国政府采购网(网址：http://www.ccgp.gov.cn）。</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2、截止时点：开标后评标前。</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3、信用信息查询记录和证据留存的具体方式：由采购组织机构在规定查询时间内打印信用信息查询记录并归入项目档案。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9</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是否接受联合体投标</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■不接受</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□接  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投标截止时间 （开标时间）</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截止时间：2022年 10月 31 日10时30分（北京时间）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11</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投标有效期</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60 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12</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政府采购投标保证金要求：</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投标保证金交纳方式：投标保证金应当以支票、汇票、本票、网上银行支付或者金融机构、担保机构出具的保函等非现金形式交纳。</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投标保证金的金额：1包：78900元；2包；67800元；3包：67600元；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4包：56700元。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投标保证金交纳要求：</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1、投标保证金以电汇、网银等转账形式提交的，应在投标截止时间2022年</w:t>
            </w:r>
            <w:r>
              <w:rPr>
                <w:rFonts w:hint="eastAsia" w:ascii="仿宋" w:hAnsi="仿宋" w:eastAsia="仿宋" w:cs="仿宋"/>
                <w:b w:val="0"/>
                <w:bCs w:val="0"/>
                <w:color w:val="auto"/>
                <w:sz w:val="24"/>
                <w:szCs w:val="24"/>
                <w:highlight w:val="none"/>
                <w:u w:val="single"/>
                <w:lang w:val="en-US" w:eastAsia="zh-CN"/>
              </w:rPr>
              <w:t xml:space="preserve">  10</w:t>
            </w:r>
            <w:r>
              <w:rPr>
                <w:rFonts w:hint="eastAsia" w:ascii="仿宋" w:hAnsi="仿宋" w:eastAsia="仿宋" w:cs="仿宋"/>
                <w:b w:val="0"/>
                <w:bCs w:val="0"/>
                <w:color w:val="auto"/>
                <w:sz w:val="24"/>
                <w:szCs w:val="24"/>
                <w:highlight w:val="none"/>
                <w:lang w:val="en-US" w:eastAsia="zh-CN"/>
              </w:rPr>
              <w:t>月</w:t>
            </w:r>
            <w:r>
              <w:rPr>
                <w:rFonts w:hint="eastAsia" w:ascii="仿宋" w:hAnsi="仿宋" w:eastAsia="仿宋" w:cs="仿宋"/>
                <w:b w:val="0"/>
                <w:bCs w:val="0"/>
                <w:color w:val="auto"/>
                <w:sz w:val="24"/>
                <w:szCs w:val="24"/>
                <w:highlight w:val="none"/>
                <w:u w:val="single"/>
                <w:lang w:val="en-US" w:eastAsia="zh-CN"/>
              </w:rPr>
              <w:t xml:space="preserve"> 31 </w:t>
            </w:r>
            <w:r>
              <w:rPr>
                <w:rFonts w:hint="eastAsia" w:ascii="仿宋" w:hAnsi="仿宋" w:eastAsia="仿宋" w:cs="仿宋"/>
                <w:b w:val="0"/>
                <w:bCs w:val="0"/>
                <w:color w:val="auto"/>
                <w:sz w:val="24"/>
                <w:szCs w:val="24"/>
                <w:highlight w:val="none"/>
                <w:lang w:val="en-US" w:eastAsia="zh-CN"/>
              </w:rPr>
              <w:t>日10:30时（北京时间）前以总公司的基本账户一次性汇入指定账户（以到账时间为准），不接受现金及任何个人汇款。确认到账后，持银行交款单、基本户开户许可证（基本存款账户信息）到阿图什市政务服务和公共资源交易中心（阿图什市财政局六楼）换取票据收据，开标现场持此项目开具的票据收据原件，标书内附此票据收据复印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2、投标保证金以保函等票据形式提交的，在开标现场持金融机构、担保机构出具的票据原件，标书内附此票据复印件。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3、有效投标保证金成功交纳后，截止开标时间，供应商无正当理由不参加该项目投标且不递交弃标函，投标保证金不予退还。</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户名：阿图什市政务服务和公共资源交易中心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账号：30456301040005267</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行名：中国农业银行阿图什市天山分理处</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行号：103893045636</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联系人：祝女士</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电话：0908-4222076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（备注：必须写清楚某某公司某某项目保证金）</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投标保证金退还：</w:t>
            </w:r>
          </w:p>
          <w:p>
            <w:pPr>
              <w:numPr>
                <w:ilvl w:val="0"/>
                <w:numId w:val="2"/>
              </w:num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中标供应商持合同和票据收据5日内办理；</w:t>
            </w:r>
          </w:p>
          <w:p>
            <w:pPr>
              <w:numPr>
                <w:ilvl w:val="0"/>
                <w:numId w:val="2"/>
              </w:num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未中标供应商持收据5日内办理；</w:t>
            </w:r>
          </w:p>
          <w:p>
            <w:pPr>
              <w:numPr>
                <w:ilvl w:val="0"/>
                <w:numId w:val="0"/>
              </w:numPr>
              <w:shd w:val="clear" w:color="auto" w:fill="auto"/>
              <w:spacing w:line="360" w:lineRule="auto"/>
              <w:ind w:leftChars="0" w:right="0" w:rightChars="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3、因供应商自身原因耽搁领取，超过退还时限，不承担延后退还责任。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是否允许递交备选投标方案</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■不允许</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□允  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招标文件领取</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u w:val="none"/>
                <w:lang w:val="en-US" w:eastAsia="zh-CN"/>
              </w:rPr>
              <w:t>时间：2022年 10月 10日至2022年10月 21日，</w:t>
            </w:r>
            <w:r>
              <w:rPr>
                <w:rFonts w:hint="eastAsia" w:ascii="仿宋" w:hAnsi="仿宋" w:eastAsia="仿宋" w:cs="仿宋"/>
                <w:b w:val="0"/>
                <w:bCs w:val="0"/>
                <w:color w:val="auto"/>
                <w:sz w:val="24"/>
                <w:szCs w:val="24"/>
                <w:highlight w:val="none"/>
                <w:lang w:val="en-US" w:eastAsia="zh-CN"/>
              </w:rPr>
              <w:t>每天上午10:00至14:00，下午16:00至19：30（北京时间，节假日除外）</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地点：供应商登陆政采云平台http://www.zcygov.cn/，在线申请获取招标文件 （登录政府采购云平台 → 项目采购 → 获取招标文件 →申请，审核通过后可下载招标文件 ，如有操作性问题，可与政采云在线客服进行咨询，咨询电话：400-881-7190）。</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方式：（1）线上获取（登录政府采购云平台 → 项目采购 → 获取招标文件 → 申请，审核通过后可下载招标文件 ）。本次招标不提供纸质版招标文件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（2）供应商获取招标文件 前应注册成为政府采购云平台正式供应商。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投标文件形式</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电子投标文件包括“电子加密投标文件”和“备份投标文件”，在投标文件编制完成后同时生成。</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1、“电子加密投标文件”是指通过“政采云电子交易客户端”完成投标文件编制后生成并加密的数据电文形式的投标文件。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投标文件份数及要求</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1、一份电子加密标书（“.jmbs”格式），一份备份标书文件（“.bfbs”格式）。</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2、每份电子投标文件应包括资格证明文件和商务及技术文件两部分。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待开标结束后，各投标企业请于2022年11月09日19:30前提供纸质投标文件叁份并承诺与纸质投标文件内容一致的承诺书至新疆天勤工程管理有限公司（克州阿图什市迎宾路80号三楼）。投标人可采用邮寄方式提供纸质版投标文件（收件地址：克州阿图什市迎宾路80号三楼，收件人：王先生，电话：18104746080），费用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投标文件的上传和递交</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a.供应商未能在投标截止时间前成功上传电子加密投标文件的投标无效。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b.供应商成功上传电子加密投标文件后，可自行打印投标文件接收回执。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left"/>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2.备份投标文件：供应商在投标截止时间前将加密的投标文件上传至政府采购云平台，还可以在投标截止时间前以电子邮件方式提供备份投标文件1份（接收人邮箱：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sz w:val="24"/>
                <w:szCs w:val="24"/>
                <w:highlight w:val="none"/>
                <w:u w:val="single"/>
                <w:lang w:val="en-US" w:bidi="zh-CN"/>
              </w:rPr>
              <w:t>820740061@qq.com</w:t>
            </w:r>
            <w:r>
              <w:rPr>
                <w:rStyle w:val="27"/>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7"/>
                <w:rFonts w:hint="eastAsia" w:ascii="仿宋" w:hAnsi="仿宋" w:eastAsia="仿宋" w:cs="仿宋"/>
                <w:color w:val="auto"/>
                <w:sz w:val="24"/>
                <w:szCs w:val="24"/>
                <w:highlight w:val="none"/>
                <w:u w:val="single"/>
                <w:lang w:bidi="zh-CN"/>
              </w:rPr>
              <w:t>，电话：</w:t>
            </w:r>
            <w:r>
              <w:rPr>
                <w:rStyle w:val="27"/>
                <w:rFonts w:hint="eastAsia" w:ascii="仿宋" w:hAnsi="仿宋" w:eastAsia="仿宋" w:cs="仿宋"/>
                <w:color w:val="auto"/>
                <w:sz w:val="24"/>
                <w:szCs w:val="24"/>
                <w:highlight w:val="none"/>
                <w:u w:val="single"/>
                <w:lang w:val="en-US" w:bidi="zh-CN"/>
              </w:rPr>
              <w:t xml:space="preserve">13779615026 </w:t>
            </w:r>
            <w:r>
              <w:rPr>
                <w:rFonts w:hint="eastAsia" w:ascii="仿宋" w:hAnsi="仿宋" w:eastAsia="仿宋" w:cs="仿宋"/>
                <w:b w:val="0"/>
                <w:bCs w:val="0"/>
                <w:color w:val="auto"/>
                <w:sz w:val="24"/>
                <w:szCs w:val="24"/>
                <w:highlight w:val="none"/>
                <w:lang w:val="en-US" w:eastAsia="zh-CN"/>
              </w:rPr>
              <w:t>），“备份投标文件”由供应商自愿提供，招标文件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18</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评标委员会的组建</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zh-CN" w:eastAsia="zh-CN"/>
              </w:rPr>
              <w:t>评标委员会由招标人依法组建；</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zh-CN" w:eastAsia="zh-CN"/>
              </w:rPr>
              <w:t>评标专家确定方式：专家评委由招标人在开标前从政采云专家库中随机抽取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19</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是否授权评标委员会确定中标候选人</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en-US" w:eastAsia="zh-CN"/>
              </w:rPr>
              <w:t>是，评标委员会推荐3名中标候选人。</w:t>
            </w:r>
            <w:r>
              <w:rPr>
                <w:rFonts w:hint="eastAsia" w:ascii="仿宋" w:hAnsi="仿宋" w:eastAsia="仿宋" w:cs="仿宋"/>
                <w:b w:val="0"/>
                <w:bCs w:val="0"/>
                <w:color w:val="auto"/>
                <w:sz w:val="24"/>
                <w:szCs w:val="24"/>
                <w:highlight w:val="none"/>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20</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递交投标文件地点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投标截止时间：2022年 10月31日10时30分（北京时间）</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投标地点：新疆政府采购云平台（www.zcygov.cn）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21</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开标时间和地点</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开标时间：2022年 10月31日10时30分（北京时间）</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开标地点：新疆政府采购云平台（www.zcygov.cn）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22</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重要说明</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5.供应商在开标时须使用制作加密电子投标文件所使用的CA锁及电脑，电脑须提前配置好浏览器（建议使用谷歌浏览器），以便开标时解锁。</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7.为了保证开评标顺利进行，政采云线上开标功能完全实现，供应商开标所使用的电脑设备须具有视频及语音功能。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1、电子招投标情况说明：</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（1）电子招投标：本项目以数据电文形式，依托“政府采购云平台（www.zcygov.cn）”进行招投标活动。</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（3）招标文件 的获取：使用账号登录或者短信验证码或者使用CA登录政采云平台；进入“项目采购”应用，在获取招标文件 菜单中选择项目，获取招标文件 。申请获取招标文件 前须上传的资格证明文件扫描件有：营业执照副本原件；法定代表人投标需提供法定代表人资格证明书原件，委托代理人投标需提供法定代表人授权委托书原件；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（4）投标文件的制作：在“政采云电子交易客户端”中完成“填写基本信息”、“导入投标文件”、“标书关联”、“标书检查”、“电子签名”、“生成电子标书”等操作。</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（5）投标文件的传输递交：供应商在投标截止时间前将加密的投标文件上传至政府采购云平台，还可以在投标截止时间前以电子邮件方式提供备份投标文件1份（接收人邮箱：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sz w:val="24"/>
                <w:szCs w:val="24"/>
                <w:highlight w:val="none"/>
                <w:u w:val="single"/>
                <w:lang w:val="en-US" w:bidi="zh-CN"/>
              </w:rPr>
              <w:t>820740061@qq.com</w:t>
            </w:r>
            <w:r>
              <w:rPr>
                <w:rStyle w:val="27"/>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7"/>
                <w:rFonts w:hint="eastAsia" w:ascii="仿宋" w:hAnsi="仿宋" w:eastAsia="仿宋" w:cs="仿宋"/>
                <w:color w:val="auto"/>
                <w:sz w:val="24"/>
                <w:szCs w:val="24"/>
                <w:highlight w:val="none"/>
                <w:u w:val="single"/>
                <w:lang w:bidi="zh-CN"/>
              </w:rPr>
              <w:t>，电话：</w:t>
            </w:r>
            <w:r>
              <w:rPr>
                <w:rStyle w:val="27"/>
                <w:rFonts w:hint="eastAsia" w:ascii="仿宋" w:hAnsi="仿宋" w:eastAsia="仿宋" w:cs="仿宋"/>
                <w:color w:val="auto"/>
                <w:sz w:val="24"/>
                <w:szCs w:val="24"/>
                <w:highlight w:val="none"/>
                <w:u w:val="single"/>
                <w:lang w:val="en-US" w:bidi="zh-CN"/>
              </w:rPr>
              <w:t>13779615026</w:t>
            </w:r>
            <w:r>
              <w:rPr>
                <w:rFonts w:hint="eastAsia" w:ascii="仿宋" w:hAnsi="仿宋" w:eastAsia="仿宋" w:cs="仿宋"/>
                <w:color w:val="auto"/>
                <w:sz w:val="24"/>
                <w:szCs w:val="24"/>
                <w:highlight w:val="none"/>
                <w:lang w:bidi="zh-CN"/>
              </w:rPr>
              <w:t>）</w:t>
            </w:r>
            <w:r>
              <w:rPr>
                <w:rFonts w:hint="eastAsia" w:ascii="仿宋" w:hAnsi="仿宋" w:eastAsia="仿宋" w:cs="仿宋"/>
                <w:b w:val="0"/>
                <w:bCs w:val="0"/>
                <w:color w:val="auto"/>
                <w:sz w:val="24"/>
                <w:szCs w:val="24"/>
                <w:highlight w:val="none"/>
                <w:lang w:val="en-US" w:eastAsia="zh-CN"/>
              </w:rPr>
              <w:t>，备份投标文件可以打包压缩并加密，压缩包命名为“XX单位备份投标文件”，加密密码由供应商自行保管（“备份投标文件”由供应商自愿提供，招标文件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（6）投标文件的解密：供应商按照平台提示和招标文件 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（7）具体操作指南：详见政采云平台“服务中心-帮助文档-项目采购-操作流程-电子招投标-政府采购项目电子交易管理操作指南-供应商”。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（8）供应商在进行上述操作时，如遇技术问题可登录政采云（https://</w:t>
            </w:r>
            <w:r>
              <w:rPr>
                <w:rFonts w:hint="eastAsia" w:ascii="仿宋" w:hAnsi="仿宋" w:eastAsia="仿宋" w:cs="仿宋"/>
                <w:b w:val="0"/>
                <w:bCs w:val="0"/>
                <w:color w:val="auto"/>
                <w:sz w:val="24"/>
                <w:szCs w:val="24"/>
                <w:highlight w:val="none"/>
                <w:lang w:val="en-US" w:eastAsia="zh-CN"/>
              </w:rPr>
              <w:fldChar w:fldCharType="begin"/>
            </w:r>
            <w:r>
              <w:rPr>
                <w:rFonts w:hint="eastAsia" w:ascii="仿宋" w:hAnsi="仿宋" w:eastAsia="仿宋" w:cs="仿宋"/>
                <w:b w:val="0"/>
                <w:bCs w:val="0"/>
                <w:color w:val="auto"/>
                <w:sz w:val="24"/>
                <w:szCs w:val="24"/>
                <w:highlight w:val="none"/>
                <w:lang w:val="en-US" w:eastAsia="zh-CN"/>
              </w:rPr>
              <w:instrText xml:space="preserve">HYPERLINK "http://www.zcygov.cn/" \h</w:instrText>
            </w:r>
            <w:r>
              <w:rPr>
                <w:rFonts w:hint="eastAsia" w:ascii="仿宋" w:hAnsi="仿宋" w:eastAsia="仿宋" w:cs="仿宋"/>
                <w:b w:val="0"/>
                <w:bCs w:val="0"/>
                <w:color w:val="auto"/>
                <w:sz w:val="24"/>
                <w:szCs w:val="24"/>
                <w:highlight w:val="none"/>
                <w:lang w:val="en-US" w:eastAsia="zh-CN"/>
              </w:rPr>
              <w:fldChar w:fldCharType="separate"/>
            </w:r>
            <w:r>
              <w:rPr>
                <w:rFonts w:hint="eastAsia" w:ascii="仿宋" w:hAnsi="仿宋" w:eastAsia="仿宋" w:cs="仿宋"/>
                <w:b w:val="0"/>
                <w:bCs w:val="0"/>
                <w:color w:val="auto"/>
                <w:sz w:val="24"/>
                <w:szCs w:val="24"/>
                <w:highlight w:val="none"/>
                <w:lang w:val="en-US" w:eastAsia="zh-CN"/>
              </w:rPr>
              <w:t>www.zcygov.cn/</w:t>
            </w:r>
            <w:r>
              <w:rPr>
                <w:rFonts w:hint="eastAsia" w:ascii="仿宋" w:hAnsi="仿宋" w:eastAsia="仿宋" w:cs="仿宋"/>
                <w:b w:val="0"/>
                <w:bCs w:val="0"/>
                <w:color w:val="auto"/>
                <w:sz w:val="24"/>
                <w:szCs w:val="24"/>
                <w:highlight w:val="none"/>
                <w:lang w:val="en-US" w:eastAsia="zh-CN"/>
              </w:rPr>
              <w:fldChar w:fldCharType="end"/>
            </w:r>
            <w:r>
              <w:rPr>
                <w:rFonts w:hint="eastAsia" w:ascii="仿宋" w:hAnsi="仿宋" w:eastAsia="仿宋" w:cs="仿宋"/>
                <w:b w:val="0"/>
                <w:bCs w:val="0"/>
                <w:color w:val="auto"/>
                <w:sz w:val="24"/>
                <w:szCs w:val="24"/>
                <w:highlight w:val="none"/>
                <w:lang w:val="en-US" w:eastAsia="zh-CN"/>
              </w:rPr>
              <w:t>），点击右侧咨询小采，获取采小蜜智能服务管家帮助，或拨打政采云服务热线 400-881-7190 获取热线服务帮助。</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温馨提醒：供应商应提前上传，以便在上传时遇到技术问题，有充足的时间请教平台的技术人员。</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2、供应商认为招标文件使自己的权益受到损害的，可以自收到招标文件之日（招标文件 公告期限届满之前收到招标文件 的，以完成获取招标文件 申请后下载招标文件 的时间为准）或者招标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招标文件 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23</w:t>
            </w:r>
          </w:p>
        </w:tc>
        <w:tc>
          <w:tcPr>
            <w:tcW w:w="1720"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中标候选人公示媒介</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克州公共资源交易中心网、新疆政府采购网，公示期为一个工作日。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24</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收费标准：中标单位在领取本采购项目中标通知书时，按照《国家计委关于印发招标代理服务收费管理暂行办法的通知（计价格[2002]1980号）中规定收费基准支付代理费及《招标代理服务收费有关问题》（发改办价格[2003]857号文）中规定收取代理费；</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招标代理服务收费标准( 费 率)</w:t>
            </w:r>
          </w:p>
          <w:tbl>
            <w:tblPr>
              <w:tblStyle w:val="23"/>
              <w:tblpPr w:leftFromText="180" w:rightFromText="180" w:vertAnchor="text" w:horzAnchor="page" w:tblpXSpec="center" w:tblpY="19"/>
              <w:tblOverlap w:val="never"/>
              <w:tblW w:w="8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6"/>
              <w:gridCol w:w="1530"/>
              <w:gridCol w:w="1433"/>
              <w:gridCol w:w="1446"/>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1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中标金额</w:t>
                  </w:r>
                </w:p>
              </w:tc>
              <w:tc>
                <w:tcPr>
                  <w:tcW w:w="1530" w:type="dxa"/>
                  <w:noWrap w:val="0"/>
                  <w:vAlign w:val="center"/>
                </w:tcPr>
                <w:p>
                  <w:pPr>
                    <w:shd w:val="clear" w:color="auto" w:fill="auto"/>
                    <w:spacing w:line="360" w:lineRule="auto"/>
                    <w:ind w:firstLine="240" w:firstLineChars="100"/>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货物招标</w:t>
                  </w:r>
                </w:p>
              </w:tc>
              <w:tc>
                <w:tcPr>
                  <w:tcW w:w="1433"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服务招标</w:t>
                  </w:r>
                </w:p>
              </w:tc>
              <w:tc>
                <w:tcPr>
                  <w:tcW w:w="144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工程招标</w:t>
                  </w:r>
                </w:p>
              </w:tc>
              <w:tc>
                <w:tcPr>
                  <w:tcW w:w="1144" w:type="dxa"/>
                  <w:noWrap w:val="0"/>
                  <w:vAlign w:val="center"/>
                </w:tcPr>
                <w:p>
                  <w:pPr>
                    <w:shd w:val="clear" w:color="auto" w:fill="auto"/>
                    <w:tabs>
                      <w:tab w:val="left" w:pos="317"/>
                    </w:tabs>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b/>
                  </w:r>
                  <w:r>
                    <w:rPr>
                      <w:rFonts w:hint="eastAsia" w:ascii="仿宋" w:hAnsi="仿宋" w:eastAsia="仿宋" w:cs="仿宋"/>
                      <w:b w:val="0"/>
                      <w:bCs w:val="0"/>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100万元以下</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100～500万元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0.8%</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0.7%</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500～1000万元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0.8%</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0.45%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0.55%</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1000～5000万元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0.5%</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0.25%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0.35%</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bl>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w:t>
            </w:r>
          </w:p>
          <w:p>
            <w:pPr>
              <w:numPr>
                <w:ilvl w:val="0"/>
                <w:numId w:val="3"/>
              </w:numPr>
              <w:shd w:val="clear" w:color="auto" w:fill="auto"/>
              <w:spacing w:line="360" w:lineRule="auto"/>
              <w:ind w:left="320" w:leftChars="0" w:firstLine="0" w:firstLineChars="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按本表费率计算的收费为招标代理服务全过程的收费基准价格，单独提供编制招标文件（有标底的含标底）服务的，可按规定标准的30％计收。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2、招标代理服务收费按差额定率累进法计算。例如：某工程招标代理业务中标金额为6000万元，计算招标代理服务费额如下：</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100万元×1.0％＝1万元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（500－100）万元×0.7％＝2.8万元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（1000－500）万元×0.55％＝2.75万元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（5000－1000）万元×0.35％＝14万元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（6000－5000）万元×0.2％＝2万元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合计收费＝1＋2.8＋2.75＋14＋2＝22.55(万元)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25</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评标办法：本项目采用综合评分法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26</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不管投标结果如何，投标人均应承担自己投标所需一切费用。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27</w:t>
            </w:r>
          </w:p>
        </w:tc>
        <w:tc>
          <w:tcPr>
            <w:tcW w:w="9620" w:type="dxa"/>
            <w:gridSpan w:val="2"/>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本次招标预算价：1包：5567400元；2包：4686300元；3包：4624100元；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4包：4710000元。（投标报价超过采购预算价的按废标处理）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28</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中小微企业政策文件</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（1）根据财政部、工业和信息化部关于印发《政府采购促进中小企业发展</w:t>
            </w:r>
            <w:r>
              <w:rPr>
                <w:rFonts w:hint="eastAsia" w:ascii="仿宋" w:hAnsi="仿宋" w:eastAsia="仿宋" w:cs="仿宋"/>
                <w:b w:val="0"/>
                <w:bCs w:val="0"/>
                <w:color w:val="auto"/>
                <w:sz w:val="24"/>
                <w:szCs w:val="24"/>
                <w:highlight w:val="none"/>
                <w:lang w:eastAsia="zh-CN"/>
              </w:rPr>
              <w:t>管理</w:t>
            </w:r>
            <w:r>
              <w:rPr>
                <w:rFonts w:hint="eastAsia" w:ascii="仿宋" w:hAnsi="仿宋" w:eastAsia="仿宋" w:cs="仿宋"/>
                <w:b w:val="0"/>
                <w:bCs w:val="0"/>
                <w:color w:val="auto"/>
                <w:sz w:val="24"/>
                <w:szCs w:val="24"/>
                <w:highlight w:val="none"/>
              </w:rPr>
              <w:t>办法》的通知（财库[20</w:t>
            </w:r>
            <w:r>
              <w:rPr>
                <w:rFonts w:hint="eastAsia" w:ascii="仿宋" w:hAnsi="仿宋" w:eastAsia="仿宋" w:cs="仿宋"/>
                <w:b w:val="0"/>
                <w:bCs w:val="0"/>
                <w:color w:val="auto"/>
                <w:sz w:val="24"/>
                <w:szCs w:val="24"/>
                <w:highlight w:val="none"/>
                <w:lang w:val="en-US" w:eastAsia="zh-CN"/>
              </w:rPr>
              <w:t>20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46</w:t>
            </w:r>
            <w:r>
              <w:rPr>
                <w:rFonts w:hint="eastAsia" w:ascii="仿宋" w:hAnsi="仿宋" w:eastAsia="仿宋" w:cs="仿宋"/>
                <w:b w:val="0"/>
                <w:bCs w:val="0"/>
                <w:color w:val="auto"/>
                <w:sz w:val="24"/>
                <w:szCs w:val="24"/>
                <w:highlight w:val="none"/>
              </w:rPr>
              <w:t>号）</w:t>
            </w:r>
            <w:r>
              <w:rPr>
                <w:rFonts w:hint="eastAsia" w:ascii="仿宋" w:hAnsi="仿宋" w:eastAsia="仿宋" w:cs="仿宋"/>
                <w:b w:val="0"/>
                <w:bCs w:val="0"/>
                <w:color w:val="auto"/>
                <w:sz w:val="24"/>
                <w:szCs w:val="24"/>
                <w:highlight w:val="none"/>
                <w:lang w:eastAsia="zh-CN"/>
              </w:rPr>
              <w:t>及（财库</w:t>
            </w:r>
            <w:r>
              <w:rPr>
                <w:rFonts w:hint="eastAsia" w:ascii="仿宋" w:hAnsi="仿宋" w:eastAsia="仿宋" w:cs="仿宋"/>
                <w:b w:val="0"/>
                <w:bCs w:val="0"/>
                <w:color w:val="auto"/>
                <w:sz w:val="24"/>
                <w:szCs w:val="24"/>
                <w:highlight w:val="none"/>
              </w:rPr>
              <w:t>[20</w:t>
            </w:r>
            <w:r>
              <w:rPr>
                <w:rFonts w:hint="eastAsia" w:ascii="仿宋" w:hAnsi="仿宋" w:eastAsia="仿宋" w:cs="仿宋"/>
                <w:b w:val="0"/>
                <w:bCs w:val="0"/>
                <w:color w:val="auto"/>
                <w:sz w:val="24"/>
                <w:szCs w:val="24"/>
                <w:highlight w:val="none"/>
                <w:lang w:val="en-US" w:eastAsia="zh-CN"/>
              </w:rPr>
              <w:t>22</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19号</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，投标人及其所投产品的制造商均属于《工业和信息化部、国家统计局、国家发展和改革委员会、财政部关于印发中小企业划型标准规定的通知》（工信部联企业[2011]300号）中规定的</w:t>
            </w:r>
            <w:r>
              <w:rPr>
                <w:rFonts w:hint="eastAsia" w:ascii="仿宋" w:hAnsi="仿宋" w:eastAsia="仿宋" w:cs="仿宋"/>
                <w:b w:val="0"/>
                <w:bCs w:val="0"/>
                <w:color w:val="auto"/>
                <w:sz w:val="24"/>
                <w:szCs w:val="24"/>
                <w:highlight w:val="none"/>
                <w:lang w:eastAsia="zh-CN"/>
              </w:rPr>
              <w:t>中型、</w:t>
            </w:r>
            <w:r>
              <w:rPr>
                <w:rFonts w:hint="eastAsia" w:ascii="仿宋" w:hAnsi="仿宋" w:eastAsia="仿宋" w:cs="仿宋"/>
                <w:b w:val="0"/>
                <w:bCs w:val="0"/>
                <w:color w:val="auto"/>
                <w:sz w:val="24"/>
                <w:szCs w:val="24"/>
                <w:highlight w:val="none"/>
              </w:rPr>
              <w:t>小型、微型企业标准的，按招标文件格式提供《中小企业声明函》。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根据财政部、民政部、中国残疾人联合会《关于促进残疾人就业政府采购政策的通知》（财库[2017]141号），在政府采购活动中，残疾人福利性单位视同小型、微型企业。投标人属于残疾人福利性单位的，按照招标文件格式提供残疾人福利性单位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29</w:t>
            </w:r>
          </w:p>
        </w:tc>
        <w:tc>
          <w:tcPr>
            <w:tcW w:w="1720" w:type="dxa"/>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中小微企业政策文件说明</w:t>
            </w: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（1）支持中小企业发展：给予小型和微型企业产品的价格</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20</w:t>
            </w:r>
            <w:r>
              <w:rPr>
                <w:rFonts w:hint="eastAsia" w:ascii="仿宋" w:hAnsi="仿宋" w:eastAsia="仿宋" w:cs="仿宋"/>
                <w:b w:val="0"/>
                <w:bCs w:val="0"/>
                <w:color w:val="auto"/>
                <w:sz w:val="24"/>
                <w:szCs w:val="24"/>
                <w:highlight w:val="none"/>
              </w:rPr>
              <w:t>%的扣除，用扣除后的价格参与评审，本项目具体扣除比例为</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%。用扣除后的价格参与评审。残疾人福利性单位视同小型、微型企业，享受同等价格扣除，但同时属于残疾人福利性单位和小微企业的，不重复价格扣除。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vMerge w:val="continue"/>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（2）不符合上述适用情形的投标人无需提供上述声明函件。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）本项目</w:t>
            </w:r>
            <w:r>
              <w:rPr>
                <w:rFonts w:hint="eastAsia" w:ascii="仿宋" w:hAnsi="仿宋" w:eastAsia="仿宋" w:cs="仿宋"/>
                <w:b w:val="0"/>
                <w:bCs w:val="0"/>
                <w:color w:val="auto"/>
                <w:sz w:val="24"/>
                <w:szCs w:val="24"/>
                <w:highlight w:val="none"/>
                <w:lang w:val="en-US" w:eastAsia="zh-CN"/>
              </w:rPr>
              <w:t>为非专门面向中小企业采购，按照相关要求给予价格扣除比例为10%。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）本项目</w:t>
            </w:r>
            <w:r>
              <w:rPr>
                <w:rFonts w:hint="eastAsia" w:ascii="仿宋" w:hAnsi="仿宋" w:eastAsia="仿宋" w:cs="仿宋"/>
                <w:b w:val="0"/>
                <w:bCs w:val="0"/>
                <w:color w:val="auto"/>
                <w:sz w:val="24"/>
                <w:szCs w:val="24"/>
                <w:highlight w:val="none"/>
                <w:lang w:val="en-US" w:eastAsia="zh-CN"/>
              </w:rPr>
              <w:t>1-4</w:t>
            </w:r>
            <w:r>
              <w:rPr>
                <w:rFonts w:hint="eastAsia" w:ascii="仿宋" w:hAnsi="仿宋" w:eastAsia="仿宋" w:cs="仿宋"/>
                <w:b w:val="0"/>
                <w:bCs w:val="0"/>
                <w:color w:val="auto"/>
                <w:sz w:val="24"/>
                <w:szCs w:val="24"/>
                <w:highlight w:val="none"/>
                <w:lang w:eastAsia="zh-CN"/>
              </w:rPr>
              <w:t>包：医疗设备</w:t>
            </w:r>
            <w:r>
              <w:rPr>
                <w:rFonts w:hint="eastAsia" w:ascii="仿宋" w:hAnsi="仿宋" w:eastAsia="仿宋" w:cs="仿宋"/>
                <w:color w:val="auto"/>
                <w:kern w:val="0"/>
                <w:sz w:val="24"/>
                <w:szCs w:val="24"/>
                <w:highlight w:val="none"/>
              </w:rPr>
              <w:t>属于</w:t>
            </w:r>
            <w:r>
              <w:rPr>
                <w:rFonts w:hint="eastAsia" w:ascii="仿宋" w:hAnsi="仿宋" w:eastAsia="仿宋" w:cs="仿宋"/>
                <w:color w:val="auto"/>
                <w:kern w:val="0"/>
                <w:sz w:val="24"/>
                <w:szCs w:val="24"/>
                <w:highlight w:val="none"/>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3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30</w:t>
            </w:r>
          </w:p>
        </w:tc>
        <w:tc>
          <w:tcPr>
            <w:tcW w:w="1720" w:type="dxa"/>
            <w:noWrap w:val="0"/>
            <w:vAlign w:val="center"/>
          </w:tcPr>
          <w:p>
            <w:pPr>
              <w:shd w:val="clear" w:color="auto" w:fill="auto"/>
              <w:spacing w:line="360" w:lineRule="auto"/>
              <w:ind w:firstLine="240" w:firstLineChars="100"/>
              <w:jc w:val="both"/>
              <w:outlineLvl w:val="9"/>
              <w:rPr>
                <w:rFonts w:hint="eastAsia" w:ascii="仿宋" w:hAnsi="仿宋" w:eastAsia="仿宋" w:cs="仿宋"/>
                <w:b w:val="0"/>
                <w:bCs w:val="0"/>
                <w:color w:val="auto"/>
                <w:sz w:val="24"/>
                <w:szCs w:val="24"/>
                <w:highlight w:val="none"/>
              </w:rPr>
            </w:pPr>
          </w:p>
          <w:p>
            <w:pPr>
              <w:shd w:val="clear" w:color="auto" w:fill="auto"/>
              <w:spacing w:line="360" w:lineRule="auto"/>
              <w:jc w:val="both"/>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履约保证金</w:t>
            </w:r>
          </w:p>
          <w:p>
            <w:pPr>
              <w:shd w:val="clear" w:color="auto" w:fill="auto"/>
              <w:spacing w:line="360" w:lineRule="auto"/>
              <w:jc w:val="both"/>
              <w:outlineLvl w:val="9"/>
              <w:rPr>
                <w:rFonts w:hint="eastAsia" w:ascii="仿宋" w:hAnsi="仿宋" w:eastAsia="仿宋" w:cs="仿宋"/>
                <w:b w:val="0"/>
                <w:bCs w:val="0"/>
                <w:color w:val="auto"/>
                <w:sz w:val="24"/>
                <w:szCs w:val="24"/>
                <w:highlight w:val="none"/>
                <w:lang w:val="en-US" w:eastAsia="zh-CN"/>
              </w:rPr>
            </w:pPr>
          </w:p>
        </w:tc>
        <w:tc>
          <w:tcPr>
            <w:tcW w:w="790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应在领取《</w:t>
            </w:r>
            <w:r>
              <w:rPr>
                <w:rFonts w:hint="eastAsia" w:ascii="仿宋" w:hAnsi="仿宋" w:eastAsia="仿宋" w:cs="仿宋"/>
                <w:b w:val="0"/>
                <w:bCs w:val="0"/>
                <w:color w:val="auto"/>
                <w:sz w:val="24"/>
                <w:szCs w:val="24"/>
                <w:highlight w:val="none"/>
                <w:lang w:val="zh-CN"/>
              </w:rPr>
              <w:t>成交通知书</w:t>
            </w:r>
            <w:r>
              <w:rPr>
                <w:rFonts w:hint="eastAsia" w:ascii="仿宋" w:hAnsi="仿宋" w:eastAsia="仿宋" w:cs="仿宋"/>
                <w:b w:val="0"/>
                <w:bCs w:val="0"/>
                <w:color w:val="auto"/>
                <w:sz w:val="24"/>
                <w:szCs w:val="24"/>
                <w:highlight w:val="none"/>
              </w:rPr>
              <w:t>》后的十个日历日内，办理履约保证金，</w:t>
            </w:r>
            <w:r>
              <w:rPr>
                <w:rFonts w:hint="eastAsia" w:ascii="仿宋" w:hAnsi="仿宋" w:eastAsia="仿宋" w:cs="仿宋"/>
                <w:b w:val="0"/>
                <w:bCs w:val="0"/>
                <w:color w:val="auto"/>
                <w:sz w:val="24"/>
                <w:szCs w:val="24"/>
                <w:highlight w:val="none"/>
                <w:lang w:val="zh-CN"/>
              </w:rPr>
              <w:t>金额不超过合同总价的10%，</w:t>
            </w:r>
            <w:r>
              <w:rPr>
                <w:rFonts w:hint="eastAsia" w:ascii="仿宋" w:hAnsi="仿宋" w:eastAsia="仿宋" w:cs="仿宋"/>
                <w:b w:val="0"/>
                <w:bCs w:val="0"/>
                <w:color w:val="auto"/>
                <w:sz w:val="24"/>
                <w:szCs w:val="24"/>
                <w:highlight w:val="none"/>
              </w:rPr>
              <w:t>否则招标人可取消</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的</w:t>
            </w:r>
            <w:r>
              <w:rPr>
                <w:rFonts w:hint="eastAsia" w:ascii="仿宋" w:hAnsi="仿宋" w:eastAsia="仿宋" w:cs="仿宋"/>
                <w:b w:val="0"/>
                <w:bCs w:val="0"/>
                <w:color w:val="auto"/>
                <w:sz w:val="24"/>
                <w:szCs w:val="24"/>
                <w:highlight w:val="none"/>
                <w:lang w:val="zh-CN"/>
              </w:rPr>
              <w:t>成交</w:t>
            </w:r>
            <w:r>
              <w:rPr>
                <w:rFonts w:hint="eastAsia" w:ascii="仿宋" w:hAnsi="仿宋" w:eastAsia="仿宋" w:cs="仿宋"/>
                <w:b w:val="0"/>
                <w:bCs w:val="0"/>
                <w:color w:val="auto"/>
                <w:sz w:val="24"/>
                <w:szCs w:val="24"/>
                <w:highlight w:val="none"/>
              </w:rPr>
              <w:t>资格，并没收其投标保证金</w:t>
            </w:r>
            <w:r>
              <w:rPr>
                <w:rFonts w:hint="eastAsia" w:ascii="仿宋" w:hAnsi="仿宋" w:eastAsia="仿宋" w:cs="仿宋"/>
                <w:b w:val="0"/>
                <w:bCs w:val="0"/>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56" w:type="dxa"/>
            <w:gridSpan w:val="2"/>
            <w:vMerge w:val="restart"/>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rPr>
              <w:t>备注</w:t>
            </w:r>
          </w:p>
        </w:tc>
        <w:tc>
          <w:tcPr>
            <w:tcW w:w="7900" w:type="dxa"/>
            <w:noWrap w:val="0"/>
            <w:vAlign w:val="center"/>
          </w:tcPr>
          <w:p>
            <w:pPr>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着重提醒各投标人注意，并认真查看招标文件中的每一个条款及要求，因误读招标文件而造成的后果，招标人概不负责。</w:t>
            </w:r>
          </w:p>
          <w:p>
            <w:pPr>
              <w:spacing w:line="360" w:lineRule="auto"/>
              <w:outlineLvl w:val="9"/>
              <w:rPr>
                <w:rFonts w:hint="eastAsia" w:ascii="仿宋" w:hAnsi="仿宋" w:eastAsia="仿宋" w:cs="仿宋"/>
                <w:b w:val="0"/>
                <w:bCs w:val="0"/>
                <w:color w:val="auto"/>
                <w:spacing w:val="0"/>
                <w:w w:val="100"/>
                <w:position w:val="0"/>
                <w:sz w:val="24"/>
                <w:szCs w:val="24"/>
                <w:highlight w:val="none"/>
                <w:shd w:val="clear" w:color="auto" w:fill="auto"/>
                <w:lang w:val="en-US" w:eastAsia="zh-CN" w:bidi="en-US"/>
              </w:rPr>
            </w:pPr>
            <w:r>
              <w:rPr>
                <w:rFonts w:hint="eastAsia" w:ascii="仿宋" w:hAnsi="仿宋" w:eastAsia="仿宋" w:cs="仿宋"/>
                <w:b w:val="0"/>
                <w:bCs w:val="0"/>
                <w:color w:val="auto"/>
                <w:spacing w:val="0"/>
                <w:w w:val="100"/>
                <w:position w:val="0"/>
                <w:sz w:val="24"/>
                <w:szCs w:val="24"/>
                <w:highlight w:val="none"/>
                <w:shd w:val="clear" w:color="auto" w:fill="auto"/>
                <w:lang w:val="en-US" w:eastAsia="zh-CN" w:bidi="en-US"/>
              </w:rPr>
              <w:t>2、投标人使用相同IP地址的，一经发现，相关部门将进一步核实，查实后按串通投标处理。</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为保证本项目质量，良好的售后服务，最低报价不作为中标的唯一依据。</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采购人若发现成交候选供应商在投标过程中提供虚假证明文件，故意隐瞒公司不良信誉和财务状况，以及其他可能对合同圆满履行造成风险的因素等，则按规定取消其成交资格，监管部门依法进行处理。</w:t>
            </w:r>
          </w:p>
          <w:p>
            <w:pPr>
              <w:spacing w:line="360" w:lineRule="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其它：</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（1）投标企业严格遵守国家的法律法规及招标纪律，无违法违纪及商业贿赂行为。</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（2）不管投标结果如何，供应商均应自行承担投标所需一切费用。</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（3）供应商应以书面形式保证中标后由本公司组织实施，不得以任何理由将项目转包给其他机构。</w:t>
            </w:r>
          </w:p>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中如出现前后不一致情况，均以前附表内容为准。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56" w:type="dxa"/>
            <w:gridSpan w:val="2"/>
            <w:vMerge w:val="continue"/>
            <w:noWrap w:val="0"/>
            <w:vAlign w:val="center"/>
          </w:tcPr>
          <w:p>
            <w:pPr>
              <w:shd w:val="clear" w:color="auto" w:fill="auto"/>
              <w:spacing w:line="360" w:lineRule="auto"/>
              <w:jc w:val="center"/>
              <w:outlineLvl w:val="9"/>
              <w:rPr>
                <w:rFonts w:hint="eastAsia" w:ascii="仿宋" w:hAnsi="仿宋" w:eastAsia="仿宋" w:cs="仿宋"/>
                <w:b/>
                <w:bCs/>
                <w:color w:val="auto"/>
                <w:sz w:val="24"/>
                <w:szCs w:val="24"/>
                <w:highlight w:val="none"/>
              </w:rPr>
            </w:pPr>
          </w:p>
        </w:tc>
        <w:tc>
          <w:tcPr>
            <w:tcW w:w="7900" w:type="dxa"/>
            <w:noWrap w:val="0"/>
            <w:vAlign w:val="center"/>
          </w:tcPr>
          <w:p>
            <w:pPr>
              <w:shd w:val="clear" w:color="auto" w:fill="auto"/>
              <w:spacing w:line="360" w:lineRule="auto"/>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eastAsia="zh-CN"/>
              </w:rPr>
              <w:t>投标供应商须按照对应的包号参加投标，即按包号进行投标。</w:t>
            </w:r>
          </w:p>
        </w:tc>
      </w:tr>
    </w:tbl>
    <w:p>
      <w:pPr>
        <w:pageBreakBefore/>
        <w:shd w:val="clear" w:color="auto" w:fill="auto"/>
        <w:spacing w:before="312" w:beforeLines="100" w:after="312" w:afterLines="100" w:line="440" w:lineRule="exact"/>
        <w:jc w:val="center"/>
        <w:outlineLvl w:val="9"/>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pPr>
        <w:shd w:val="clear" w:color="auto" w:fill="auto"/>
        <w:spacing w:line="440" w:lineRule="exact"/>
        <w:jc w:val="center"/>
        <w:outlineLvl w:val="9"/>
        <w:rPr>
          <w:rFonts w:hint="eastAsia" w:ascii="仿宋" w:hAnsi="仿宋" w:eastAsia="仿宋" w:cs="仿宋"/>
          <w:color w:val="auto"/>
          <w:sz w:val="28"/>
          <w:szCs w:val="28"/>
          <w:highlight w:val="none"/>
        </w:rPr>
      </w:pPr>
      <w:bookmarkStart w:id="8"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8"/>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供货期：见投标人须知前附表。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交</w:t>
      </w:r>
      <w:r>
        <w:rPr>
          <w:rFonts w:hint="eastAsia" w:ascii="仿宋" w:hAnsi="仿宋" w:eastAsia="仿宋" w:cs="仿宋"/>
          <w:color w:val="auto"/>
          <w:szCs w:val="21"/>
          <w:highlight w:val="none"/>
        </w:rPr>
        <w:t>货地点：见投标人须知前附表。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pPr>
        <w:shd w:val="clear" w:color="auto" w:fill="auto"/>
        <w:snapToGrid w:val="0"/>
        <w:spacing w:line="440" w:lineRule="exact"/>
        <w:ind w:firstLine="600" w:firstLineChars="25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pPr>
        <w:shd w:val="clear" w:color="auto" w:fill="auto"/>
        <w:snapToGrid w:val="0"/>
        <w:spacing w:line="44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4</w:t>
      </w:r>
      <w:r>
        <w:rPr>
          <w:rFonts w:hint="eastAsia" w:ascii="仿宋" w:hAnsi="仿宋" w:eastAsia="仿宋" w:cs="仿宋"/>
          <w:color w:val="auto"/>
          <w:szCs w:val="21"/>
          <w:highlight w:val="none"/>
        </w:rPr>
        <w:t>个包</w:t>
      </w:r>
      <w:r>
        <w:rPr>
          <w:rFonts w:hint="eastAsia" w:ascii="仿宋" w:hAnsi="仿宋" w:eastAsia="仿宋" w:cs="仿宋"/>
          <w:color w:val="auto"/>
          <w:kern w:val="0"/>
          <w:szCs w:val="21"/>
          <w:highlight w:val="none"/>
        </w:rPr>
        <w:t>。</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固定单价 。</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9" w:name="_Toc247527563"/>
      <w:bookmarkStart w:id="10" w:name="_Toc152045539"/>
      <w:bookmarkStart w:id="11" w:name="_Toc152042315"/>
      <w:bookmarkStart w:id="12" w:name="_Toc296602429"/>
      <w:bookmarkStart w:id="13" w:name="_Toc247513962"/>
      <w:bookmarkStart w:id="14" w:name="_Toc144974507"/>
      <w:bookmarkStart w:id="15" w:name="_Toc247592876"/>
      <w:r>
        <w:rPr>
          <w:rFonts w:hint="eastAsia" w:ascii="仿宋" w:hAnsi="仿宋" w:eastAsia="仿宋" w:cs="仿宋"/>
          <w:b/>
          <w:color w:val="auto"/>
          <w:szCs w:val="21"/>
          <w:highlight w:val="none"/>
        </w:rPr>
        <w:t xml:space="preserve"> 踏勘现场</w:t>
      </w:r>
      <w:bookmarkEnd w:id="9"/>
      <w:bookmarkEnd w:id="10"/>
      <w:bookmarkEnd w:id="11"/>
      <w:bookmarkEnd w:id="12"/>
      <w:bookmarkEnd w:id="13"/>
      <w:bookmarkEnd w:id="14"/>
      <w:bookmarkEnd w:id="15"/>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bCs/>
          <w:color w:val="auto"/>
          <w:highlight w:val="none"/>
          <w:lang w:eastAsia="zh-CN"/>
        </w:rPr>
        <w:t>投标人自行踏勘现场的，可咨询本项目采购人或采购代理机构联系人。</w:t>
      </w:r>
      <w:r>
        <w:rPr>
          <w:rFonts w:hint="eastAsia" w:ascii="仿宋" w:hAnsi="仿宋" w:eastAsia="仿宋" w:cs="仿宋"/>
          <w:b/>
          <w:bCs/>
          <w:color w:val="auto"/>
          <w:szCs w:val="21"/>
          <w:highlight w:val="none"/>
        </w:rPr>
        <w:t xml:space="preserve"> </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6" w:name="_Toc247513963"/>
      <w:bookmarkStart w:id="17" w:name="_Toc296602430"/>
      <w:bookmarkStart w:id="18" w:name="_Toc247592877"/>
      <w:bookmarkStart w:id="19" w:name="_Toc247527564"/>
      <w:bookmarkStart w:id="20" w:name="_Toc144974508"/>
      <w:bookmarkStart w:id="21" w:name="_Toc152042316"/>
      <w:bookmarkStart w:id="22" w:name="_Toc152045540"/>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6"/>
      <w:bookmarkEnd w:id="17"/>
      <w:bookmarkEnd w:id="18"/>
      <w:bookmarkEnd w:id="19"/>
      <w:bookmarkEnd w:id="20"/>
      <w:bookmarkEnd w:id="21"/>
      <w:bookmarkEnd w:id="22"/>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70"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pPr>
        <w:pStyle w:val="10"/>
        <w:shd w:val="clear" w:color="auto" w:fill="auto"/>
        <w:spacing w:after="0" w:line="400" w:lineRule="exact"/>
        <w:ind w:left="0" w:leftChars="0" w:firstLine="484" w:firstLineChars="20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pPr>
        <w:shd w:val="clear" w:color="auto" w:fill="auto"/>
        <w:spacing w:line="440" w:lineRule="exact"/>
        <w:ind w:firstLine="470" w:firstLineChars="196"/>
        <w:jc w:val="left"/>
        <w:outlineLvl w:val="9"/>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12.招标代理费</w:t>
      </w:r>
      <w:r>
        <w:rPr>
          <w:rFonts w:hint="eastAsia" w:ascii="仿宋" w:hAnsi="仿宋" w:eastAsia="仿宋" w:cs="仿宋"/>
          <w:b/>
          <w:color w:val="auto"/>
          <w:szCs w:val="21"/>
          <w:highlight w:val="none"/>
          <w:lang w:eastAsia="zh-CN"/>
        </w:rPr>
        <w:t>：参照投标人须知前附表</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pPr>
        <w:shd w:val="clear" w:color="auto" w:fill="auto"/>
        <w:spacing w:line="440" w:lineRule="exact"/>
        <w:ind w:firstLine="470" w:firstLineChars="196"/>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pPr>
        <w:shd w:val="clear" w:color="auto" w:fill="auto"/>
        <w:spacing w:line="440" w:lineRule="exact"/>
        <w:ind w:firstLine="470" w:firstLineChars="196"/>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pPr>
        <w:shd w:val="clear" w:color="auto" w:fill="auto"/>
        <w:spacing w:before="312" w:beforeLines="100" w:after="312" w:afterLines="100" w:line="440" w:lineRule="exact"/>
        <w:jc w:val="center"/>
        <w:outlineLvl w:val="9"/>
        <w:rPr>
          <w:rFonts w:hint="eastAsia" w:ascii="仿宋" w:hAnsi="仿宋" w:eastAsia="仿宋" w:cs="仿宋"/>
          <w:b/>
          <w:color w:val="auto"/>
          <w:sz w:val="28"/>
          <w:szCs w:val="28"/>
          <w:highlight w:val="none"/>
          <w:lang w:eastAsia="zh-CN"/>
        </w:rPr>
      </w:pPr>
      <w:bookmarkStart w:id="23" w:name="_Toc469495725"/>
      <w:r>
        <w:rPr>
          <w:rFonts w:hint="eastAsia" w:ascii="仿宋" w:hAnsi="仿宋" w:eastAsia="仿宋" w:cs="仿宋"/>
          <w:b/>
          <w:color w:val="auto"/>
          <w:sz w:val="28"/>
          <w:szCs w:val="28"/>
          <w:highlight w:val="none"/>
        </w:rPr>
        <w:t>（二）</w:t>
      </w:r>
      <w:bookmarkEnd w:id="23"/>
      <w:r>
        <w:rPr>
          <w:rFonts w:hint="eastAsia" w:ascii="仿宋" w:hAnsi="仿宋" w:eastAsia="仿宋" w:cs="仿宋"/>
          <w:b/>
          <w:color w:val="auto"/>
          <w:sz w:val="28"/>
          <w:szCs w:val="28"/>
          <w:highlight w:val="none"/>
          <w:lang w:eastAsia="zh-CN"/>
        </w:rPr>
        <w:t>招标文件</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招标</w:t>
      </w:r>
      <w:r>
        <w:rPr>
          <w:rFonts w:hint="eastAsia" w:ascii="仿宋" w:hAnsi="仿宋" w:eastAsia="仿宋" w:cs="仿宋"/>
          <w:color w:val="auto"/>
          <w:szCs w:val="21"/>
          <w:highlight w:val="none"/>
        </w:rPr>
        <w:t>公告</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供应商须知</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第四章  </w:t>
      </w:r>
      <w:r>
        <w:rPr>
          <w:rFonts w:hint="eastAsia" w:ascii="仿宋" w:hAnsi="仿宋" w:eastAsia="仿宋" w:cs="仿宋"/>
          <w:color w:val="auto"/>
          <w:szCs w:val="21"/>
          <w:highlight w:val="none"/>
          <w:lang w:eastAsia="zh-CN"/>
        </w:rPr>
        <w:t>技术规格数量及质量要求</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第五章  </w:t>
      </w:r>
      <w:r>
        <w:rPr>
          <w:rFonts w:hint="eastAsia" w:ascii="仿宋" w:hAnsi="仿宋" w:eastAsia="仿宋" w:cs="仿宋"/>
          <w:color w:val="auto"/>
          <w:szCs w:val="21"/>
          <w:highlight w:val="none"/>
          <w:lang w:eastAsia="zh-CN"/>
        </w:rPr>
        <w:t>合同（参考）</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第六章  </w:t>
      </w:r>
      <w:r>
        <w:rPr>
          <w:rFonts w:hint="eastAsia" w:ascii="仿宋" w:hAnsi="仿宋" w:eastAsia="仿宋" w:cs="仿宋"/>
          <w:color w:val="auto"/>
          <w:szCs w:val="21"/>
          <w:highlight w:val="none"/>
          <w:lang w:val="en-US" w:eastAsia="zh-CN"/>
        </w:rPr>
        <w:t>投标文件格式</w:t>
      </w:r>
    </w:p>
    <w:p>
      <w:pPr>
        <w:shd w:val="clear" w:color="auto" w:fill="auto"/>
        <w:spacing w:line="44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pPr>
        <w:pStyle w:val="12"/>
        <w:shd w:val="clear" w:color="auto" w:fill="auto"/>
        <w:wordWrap w:val="0"/>
        <w:spacing w:line="400" w:lineRule="exact"/>
        <w:outlineLvl w:val="9"/>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pPr>
        <w:shd w:val="clear" w:color="auto" w:fill="auto"/>
        <w:wordWrap w:val="0"/>
        <w:spacing w:line="44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pPr>
        <w:shd w:val="clear" w:color="auto" w:fill="auto"/>
        <w:spacing w:line="440" w:lineRule="exact"/>
        <w:ind w:firstLine="480" w:firstLineChars="200"/>
        <w:outlineLvl w:val="9"/>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pPr>
        <w:shd w:val="clear" w:color="auto" w:fill="auto"/>
        <w:spacing w:line="40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pPr>
        <w:shd w:val="clear" w:color="auto" w:fill="auto"/>
        <w:spacing w:line="400" w:lineRule="exac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   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pPr>
        <w:shd w:val="clear" w:color="auto" w:fill="auto"/>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的澄清、修改、补充及招标答疑等均应报</w:t>
      </w:r>
      <w:r>
        <w:rPr>
          <w:rFonts w:hint="eastAsia" w:ascii="仿宋" w:hAnsi="仿宋" w:eastAsia="仿宋" w:cs="仿宋"/>
          <w:color w:val="auto"/>
          <w:szCs w:val="21"/>
          <w:highlight w:val="none"/>
          <w:lang w:eastAsia="zh-CN"/>
        </w:rPr>
        <w:t>相关部门</w:t>
      </w:r>
      <w:r>
        <w:rPr>
          <w:rFonts w:hint="eastAsia" w:ascii="仿宋" w:hAnsi="仿宋" w:eastAsia="仿宋" w:cs="仿宋"/>
          <w:color w:val="auto"/>
          <w:szCs w:val="21"/>
          <w:highlight w:val="none"/>
        </w:rPr>
        <w:t>备案后，方可发出。</w:t>
      </w:r>
    </w:p>
    <w:p>
      <w:pPr>
        <w:shd w:val="clear" w:color="auto" w:fill="auto"/>
        <w:spacing w:line="440" w:lineRule="exact"/>
        <w:ind w:firstLine="319" w:firstLineChars="133"/>
        <w:outlineLvl w:val="9"/>
        <w:rPr>
          <w:rFonts w:hint="eastAsia" w:ascii="仿宋" w:hAnsi="仿宋" w:eastAsia="仿宋" w:cs="仿宋"/>
          <w:color w:val="auto"/>
          <w:szCs w:val="21"/>
          <w:highlight w:val="none"/>
        </w:rPr>
      </w:pPr>
      <w:bookmarkStart w:id="24"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pacing w:line="400" w:lineRule="exact"/>
        <w:ind w:firstLine="42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pPr>
        <w:shd w:val="clear" w:color="auto" w:fill="auto"/>
        <w:spacing w:before="312" w:beforeLines="100" w:after="312" w:afterLines="100" w:line="440" w:lineRule="exact"/>
        <w:jc w:val="center"/>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4"/>
    </w:p>
    <w:p>
      <w:pPr>
        <w:shd w:val="clear" w:color="auto" w:fill="auto"/>
        <w:spacing w:line="440" w:lineRule="exact"/>
        <w:ind w:firstLine="348" w:firstLineChars="145"/>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pPr>
        <w:shd w:val="clear" w:color="auto" w:fill="auto"/>
        <w:spacing w:line="440" w:lineRule="exact"/>
        <w:ind w:firstLine="324" w:firstLineChars="13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324" w:firstLineChars="13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pPr>
        <w:shd w:val="clear" w:color="auto" w:fill="auto"/>
        <w:spacing w:line="400" w:lineRule="exact"/>
        <w:ind w:firstLine="235" w:firstLineChars="98"/>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pPr>
        <w:shd w:val="clear" w:color="auto" w:fill="auto"/>
        <w:spacing w:line="440" w:lineRule="exact"/>
        <w:ind w:firstLine="352" w:firstLineChars="147"/>
        <w:outlineLvl w:val="9"/>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pPr>
        <w:shd w:val="clear" w:color="auto" w:fill="auto"/>
        <w:spacing w:line="440" w:lineRule="exact"/>
        <w:ind w:firstLine="352" w:firstLineChars="147"/>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2、法定代表人资格证明书</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3、法定代表人授权书</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4、投标保证金收据或投标担保函；</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5、投标企业须提供投标人（被授权在职人员）近期社保证明</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6、参加政府采购活动前3年内在经营活动中没有重大违法记录的书面声明;</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7、未被“信用中国”（www.creditchina.gov.cn）、中国政府采购网（www.ccgp.gov.cn）列入失信被执行人、重大税收违法案件当事人名单、政府采购严重违法失信行为记录名单（提供查询结果网页截图并加盖供应商公章）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8、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9、投标人须知资料表要求的其他资格证明文件;</w:t>
      </w:r>
    </w:p>
    <w:p>
      <w:pPr>
        <w:shd w:val="clear" w:color="auto" w:fill="auto"/>
        <w:spacing w:line="440" w:lineRule="exact"/>
        <w:ind w:firstLine="352" w:firstLineChars="147"/>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rPr>
        <w:t>1、投标</w:t>
      </w:r>
      <w:r>
        <w:rPr>
          <w:rFonts w:hint="eastAsia" w:ascii="仿宋" w:hAnsi="仿宋" w:eastAsia="仿宋" w:cs="仿宋"/>
          <w:b w:val="0"/>
          <w:bCs/>
          <w:color w:val="auto"/>
          <w:kern w:val="0"/>
          <w:szCs w:val="21"/>
          <w:highlight w:val="none"/>
          <w:u w:val="none"/>
          <w:lang w:eastAsia="zh-CN"/>
        </w:rPr>
        <w:t>函</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2、开标一览表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3、货物说明一览表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4</w:t>
      </w:r>
      <w:r>
        <w:rPr>
          <w:rFonts w:hint="eastAsia" w:ascii="仿宋" w:hAnsi="仿宋" w:eastAsia="仿宋" w:cs="仿宋"/>
          <w:b w:val="0"/>
          <w:bCs/>
          <w:color w:val="auto"/>
          <w:kern w:val="0"/>
          <w:szCs w:val="21"/>
          <w:highlight w:val="none"/>
          <w:u w:val="none"/>
        </w:rPr>
        <w:t>、投标分项报价表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5</w:t>
      </w:r>
      <w:r>
        <w:rPr>
          <w:rFonts w:hint="eastAsia" w:ascii="仿宋" w:hAnsi="仿宋" w:eastAsia="仿宋" w:cs="仿宋"/>
          <w:b w:val="0"/>
          <w:bCs/>
          <w:color w:val="auto"/>
          <w:kern w:val="0"/>
          <w:szCs w:val="21"/>
          <w:highlight w:val="none"/>
          <w:u w:val="none"/>
        </w:rPr>
        <w:t>、技术规格偏离表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6</w:t>
      </w:r>
      <w:r>
        <w:rPr>
          <w:rFonts w:hint="eastAsia" w:ascii="仿宋" w:hAnsi="仿宋" w:eastAsia="仿宋" w:cs="仿宋"/>
          <w:b w:val="0"/>
          <w:bCs/>
          <w:color w:val="auto"/>
          <w:kern w:val="0"/>
          <w:szCs w:val="21"/>
          <w:highlight w:val="none"/>
          <w:u w:val="none"/>
        </w:rPr>
        <w:t>、商务条款偏离表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7、投标人基本情况表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8、近三年（2019年1月1日至今）类似项目业绩表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9</w:t>
      </w:r>
      <w:r>
        <w:rPr>
          <w:rFonts w:hint="eastAsia" w:ascii="仿宋" w:hAnsi="仿宋" w:eastAsia="仿宋" w:cs="仿宋"/>
          <w:b w:val="0"/>
          <w:bCs/>
          <w:color w:val="auto"/>
          <w:kern w:val="0"/>
          <w:szCs w:val="21"/>
          <w:highlight w:val="none"/>
          <w:u w:val="none"/>
        </w:rPr>
        <w:t>、中小企业声明函(</w:t>
      </w:r>
      <w:r>
        <w:rPr>
          <w:rFonts w:hint="eastAsia" w:ascii="仿宋" w:hAnsi="仿宋" w:eastAsia="仿宋" w:cs="仿宋"/>
          <w:b w:val="0"/>
          <w:bCs/>
          <w:color w:val="auto"/>
          <w:kern w:val="0"/>
          <w:szCs w:val="21"/>
          <w:highlight w:val="none"/>
          <w:u w:val="none"/>
          <w:lang w:eastAsia="zh-CN"/>
        </w:rPr>
        <w:t>货物</w:t>
      </w:r>
      <w:r>
        <w:rPr>
          <w:rFonts w:hint="eastAsia" w:ascii="仿宋" w:hAnsi="仿宋" w:eastAsia="仿宋" w:cs="仿宋"/>
          <w:b w:val="0"/>
          <w:bCs/>
          <w:color w:val="auto"/>
          <w:kern w:val="0"/>
          <w:szCs w:val="21"/>
          <w:highlight w:val="none"/>
          <w:u w:val="none"/>
        </w:rPr>
        <w:t>)</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10、</w:t>
      </w:r>
      <w:r>
        <w:rPr>
          <w:rFonts w:hint="eastAsia" w:ascii="仿宋" w:hAnsi="仿宋" w:eastAsia="仿宋" w:cs="仿宋"/>
          <w:b w:val="0"/>
          <w:bCs/>
          <w:color w:val="auto"/>
          <w:kern w:val="0"/>
          <w:szCs w:val="21"/>
          <w:highlight w:val="none"/>
          <w:u w:val="none"/>
        </w:rPr>
        <w:t>《残疾人福利性单位声明函》</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11、</w:t>
      </w:r>
      <w:r>
        <w:rPr>
          <w:rFonts w:hint="eastAsia" w:ascii="仿宋" w:hAnsi="仿宋" w:eastAsia="仿宋" w:cs="仿宋"/>
          <w:b w:val="0"/>
          <w:bCs/>
          <w:color w:val="auto"/>
          <w:kern w:val="0"/>
          <w:szCs w:val="21"/>
          <w:highlight w:val="none"/>
          <w:u w:val="none"/>
          <w:lang w:eastAsia="zh-CN"/>
        </w:rPr>
        <w:t>评分标准和细则中技术部分证明材料</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12、</w:t>
      </w:r>
      <w:r>
        <w:rPr>
          <w:rFonts w:hint="eastAsia" w:ascii="仿宋" w:hAnsi="仿宋" w:eastAsia="仿宋" w:cs="仿宋"/>
          <w:b w:val="0"/>
          <w:bCs/>
          <w:color w:val="auto"/>
          <w:kern w:val="0"/>
          <w:szCs w:val="21"/>
          <w:highlight w:val="none"/>
          <w:u w:val="none"/>
          <w:lang w:eastAsia="zh-CN"/>
        </w:rPr>
        <w:t>评分标准和细则中技术部分证明材料（格式自拟）</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13、</w:t>
      </w:r>
      <w:r>
        <w:rPr>
          <w:rFonts w:hint="eastAsia" w:ascii="仿宋" w:hAnsi="仿宋" w:eastAsia="仿宋" w:cs="仿宋"/>
          <w:b w:val="0"/>
          <w:bCs/>
          <w:color w:val="auto"/>
          <w:kern w:val="0"/>
          <w:szCs w:val="21"/>
          <w:highlight w:val="none"/>
          <w:u w:val="none"/>
          <w:lang w:eastAsia="zh-CN"/>
        </w:rPr>
        <w:t>投标人认为有必要提供的其他证明材料（格式自拟）</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77" w:firstLineChars="199"/>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22.2投标报价表上应清楚地标明投标人拟提供货物的名称、型号、生产厂家、数量、单价和总价。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并最终按货物总量乘以货物单价报总价，不得采用总价下浮的方式进行报价。综合单价包括：货物本身价格、疫苗费检测费、运输费用、验货费用、损耗、技术指导、税金费用、自检费及验收合格前和质保期内发生的一切费用、应当提供的伴随服务/售后服务费用。</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pPr>
        <w:shd w:val="clear" w:color="auto" w:fill="auto"/>
        <w:spacing w:line="440" w:lineRule="exact"/>
        <w:ind w:firstLine="460" w:firstLineChars="192"/>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pPr>
        <w:shd w:val="clear" w:color="auto" w:fill="auto"/>
        <w:spacing w:line="440" w:lineRule="exact"/>
        <w:ind w:firstLine="460" w:firstLineChars="19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22.12投标人不得对从第三方采购货物的随机备品、备件另行收费，否则在计算评标价时这部分费用将不予扣除，在授予合同时将从中标价格中扣除该部分费用。</w:t>
      </w:r>
    </w:p>
    <w:p>
      <w:pPr>
        <w:shd w:val="clear" w:color="auto" w:fill="auto"/>
        <w:spacing w:line="440" w:lineRule="exact"/>
        <w:ind w:firstLine="460" w:firstLineChars="19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22.13投标人应根据货物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ind w:firstLine="460" w:firstLineChars="192"/>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bookmarkStart w:id="25"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pPr>
        <w:shd w:val="clear" w:color="auto" w:fill="auto"/>
        <w:bidi w:val="0"/>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5"/>
      <w:r>
        <w:rPr>
          <w:rFonts w:hint="eastAsia" w:ascii="仿宋" w:hAnsi="仿宋" w:eastAsia="仿宋" w:cs="仿宋"/>
          <w:color w:val="auto"/>
          <w:sz w:val="28"/>
          <w:szCs w:val="28"/>
          <w:highlight w:val="none"/>
        </w:rPr>
        <w:t>投标文件的制作、上传及递交要求</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25.</w:t>
      </w:r>
      <w:r>
        <w:rPr>
          <w:rFonts w:hint="eastAsia" w:ascii="仿宋" w:hAnsi="仿宋" w:eastAsia="仿宋" w:cs="仿宋"/>
          <w:b/>
          <w:bCs/>
          <w:color w:val="auto"/>
          <w:sz w:val="24"/>
          <w:szCs w:val="24"/>
          <w:highlight w:val="none"/>
        </w:rPr>
        <w:t>投标文件的制作要求</w:t>
      </w:r>
    </w:p>
    <w:p>
      <w:pPr>
        <w:pStyle w:val="7"/>
        <w:shd w:val="clear" w:color="auto" w:fill="auto"/>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rPr>
        <w:t>（1）供应商应按照投标文件组成内容及项目招标需求和</w:t>
      </w:r>
      <w:r>
        <w:rPr>
          <w:rFonts w:hint="eastAsia" w:ascii="仿宋" w:hAnsi="仿宋" w:eastAsia="仿宋" w:cs="仿宋"/>
          <w:b w:val="0"/>
          <w:bCs/>
          <w:color w:val="auto"/>
          <w:sz w:val="24"/>
          <w:szCs w:val="24"/>
          <w:highlight w:val="none"/>
          <w:lang w:eastAsia="zh-CN"/>
        </w:rPr>
        <w:t>新疆</w:t>
      </w:r>
      <w:r>
        <w:rPr>
          <w:rFonts w:hint="eastAsia" w:ascii="仿宋" w:hAnsi="仿宋" w:eastAsia="仿宋" w:cs="仿宋"/>
          <w:b w:val="0"/>
          <w:bCs/>
          <w:color w:val="auto"/>
          <w:sz w:val="24"/>
          <w:szCs w:val="24"/>
          <w:highlight w:val="none"/>
        </w:rPr>
        <w:t>政府采购云平台要求制作投标文件，不按采购文件和</w:t>
      </w:r>
      <w:r>
        <w:rPr>
          <w:rFonts w:hint="eastAsia" w:ascii="仿宋" w:hAnsi="仿宋" w:eastAsia="仿宋" w:cs="仿宋"/>
          <w:b w:val="0"/>
          <w:bCs/>
          <w:color w:val="auto"/>
          <w:sz w:val="24"/>
          <w:szCs w:val="24"/>
          <w:highlight w:val="none"/>
          <w:lang w:eastAsia="zh-CN"/>
        </w:rPr>
        <w:t>新疆</w:t>
      </w:r>
      <w:r>
        <w:rPr>
          <w:rFonts w:hint="eastAsia" w:ascii="仿宋" w:hAnsi="仿宋" w:eastAsia="仿宋" w:cs="仿宋"/>
          <w:b w:val="0"/>
          <w:bCs/>
          <w:color w:val="auto"/>
          <w:sz w:val="24"/>
          <w:szCs w:val="24"/>
          <w:highlight w:val="none"/>
        </w:rPr>
        <w:t>政府采购云平台要求制作投标文件的将视情况处理（拒收等），由此产生的责任由供应商自行承担。</w:t>
      </w:r>
    </w:p>
    <w:p>
      <w:pPr>
        <w:pStyle w:val="7"/>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7"/>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备份电子投标文件：通过“政采云”平台电子投标工具制作投标文件所产生的备份文件。</w:t>
      </w:r>
    </w:p>
    <w:p>
      <w:pPr>
        <w:pStyle w:val="7"/>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（2）供应商应对所提供的全部资料的真实性、有效性承担法律责任，电子投标文件中所须加盖公章部分均采用CA签章。</w:t>
      </w:r>
    </w:p>
    <w:p>
      <w:pPr>
        <w:pStyle w:val="7"/>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（3）投标文件以及供应商与采购组织机构就有关投标事宜的所有来往函电，均应以中文汉语书写。除</w:t>
      </w:r>
      <w:r>
        <w:rPr>
          <w:rFonts w:hint="eastAsia" w:ascii="仿宋" w:hAnsi="仿宋" w:eastAsia="仿宋" w:cs="仿宋"/>
          <w:b w:val="0"/>
          <w:bCs/>
          <w:color w:val="auto"/>
          <w:sz w:val="24"/>
          <w:szCs w:val="24"/>
          <w:highlight w:val="none"/>
          <w:lang w:eastAsia="zh-CN"/>
        </w:rPr>
        <w:t>签章</w:t>
      </w:r>
      <w:r>
        <w:rPr>
          <w:rFonts w:hint="eastAsia" w:ascii="仿宋" w:hAnsi="仿宋" w:eastAsia="仿宋" w:cs="仿宋"/>
          <w:b w:val="0"/>
          <w:bCs/>
          <w:color w:val="auto"/>
          <w:sz w:val="24"/>
          <w:szCs w:val="24"/>
          <w:highlight w:val="none"/>
        </w:rPr>
        <w:t>、盖章、专用名称等特殊情形外，以中文汉语以外的文字表述的投标文件视同未提供。</w:t>
      </w:r>
    </w:p>
    <w:p>
      <w:pPr>
        <w:pStyle w:val="7"/>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pStyle w:val="7"/>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（5）若供应商不按采购文件的要求提供资格审查材料，其风险由供应商自行承担。</w:t>
      </w:r>
    </w:p>
    <w:p>
      <w:pPr>
        <w:pStyle w:val="7"/>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（6）与本次投标无关的内容请不要制作在内，确保投标文件有针对性、简洁明了。</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26.</w:t>
      </w:r>
      <w:r>
        <w:rPr>
          <w:rFonts w:hint="eastAsia" w:ascii="仿宋" w:hAnsi="仿宋" w:eastAsia="仿宋" w:cs="仿宋"/>
          <w:b/>
          <w:bCs/>
          <w:color w:val="auto"/>
          <w:sz w:val="24"/>
          <w:szCs w:val="24"/>
          <w:highlight w:val="none"/>
        </w:rPr>
        <w:t>投标文件的上传</w:t>
      </w:r>
    </w:p>
    <w:p>
      <w:pPr>
        <w:pStyle w:val="7"/>
        <w:shd w:val="clear" w:color="auto" w:fill="auto"/>
        <w:snapToGrid w:val="0"/>
        <w:spacing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bidi="zh-CN"/>
        </w:rPr>
        <w:t>电子加密投标文件（“.jmbs”格式）</w:t>
      </w:r>
      <w:r>
        <w:rPr>
          <w:rFonts w:hint="eastAsia" w:ascii="仿宋" w:hAnsi="仿宋" w:eastAsia="仿宋" w:cs="仿宋"/>
          <w:b/>
          <w:bCs/>
          <w:color w:val="auto"/>
          <w:sz w:val="24"/>
          <w:szCs w:val="24"/>
          <w:highlight w:val="none"/>
        </w:rPr>
        <w:t>：</w:t>
      </w:r>
    </w:p>
    <w:p>
      <w:pPr>
        <w:pStyle w:val="7"/>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lang w:bidi="zh-CN"/>
        </w:rPr>
      </w:pPr>
      <w:r>
        <w:rPr>
          <w:rFonts w:hint="eastAsia" w:ascii="仿宋" w:hAnsi="仿宋" w:eastAsia="仿宋" w:cs="仿宋"/>
          <w:b w:val="0"/>
          <w:bCs/>
          <w:color w:val="auto"/>
          <w:sz w:val="24"/>
          <w:szCs w:val="24"/>
          <w:highlight w:val="none"/>
          <w:lang w:bidi="zh-CN"/>
        </w:rPr>
        <w:t>a.</w:t>
      </w: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sz w:val="24"/>
          <w:szCs w:val="24"/>
          <w:highlight w:val="none"/>
          <w:lang w:bidi="zh-CN"/>
        </w:rPr>
        <w:t>供应商应在投标截止时间前将电子加密投标文件成功上传递交至新疆政府采购云平台，否则投标无效；</w:t>
      </w:r>
    </w:p>
    <w:p>
      <w:pPr>
        <w:pStyle w:val="7"/>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bidi="zh-CN"/>
        </w:rPr>
        <w:t>b.供应商成功上传电子加密投标文件后，可自行打印投标文件接收回执。</w:t>
      </w:r>
    </w:p>
    <w:p>
      <w:pPr>
        <w:pStyle w:val="7"/>
        <w:shd w:val="clear" w:color="auto" w:fill="auto"/>
        <w:snapToGrid w:val="0"/>
        <w:spacing w:line="360" w:lineRule="auto"/>
        <w:outlineLvl w:val="9"/>
        <w:rPr>
          <w:rFonts w:hint="eastAsia" w:ascii="仿宋" w:hAnsi="仿宋" w:eastAsia="仿宋" w:cs="仿宋"/>
          <w:b/>
          <w:bCs/>
          <w:color w:val="auto"/>
          <w:sz w:val="24"/>
          <w:szCs w:val="24"/>
          <w:highlight w:val="none"/>
          <w:lang w:bidi="zh-CN"/>
        </w:rPr>
      </w:pPr>
      <w:r>
        <w:rPr>
          <w:rFonts w:hint="eastAsia" w:ascii="仿宋" w:hAnsi="仿宋" w:eastAsia="仿宋" w:cs="仿宋"/>
          <w:b/>
          <w:bCs/>
          <w:color w:val="auto"/>
          <w:sz w:val="24"/>
          <w:szCs w:val="24"/>
          <w:highlight w:val="none"/>
        </w:rPr>
        <w:t>（2）</w:t>
      </w:r>
      <w:r>
        <w:rPr>
          <w:rFonts w:hint="eastAsia" w:ascii="仿宋" w:hAnsi="仿宋" w:eastAsia="仿宋" w:cs="仿宋"/>
          <w:b/>
          <w:bCs/>
          <w:color w:val="auto"/>
          <w:sz w:val="24"/>
          <w:szCs w:val="24"/>
          <w:highlight w:val="none"/>
          <w:lang w:bidi="zh-CN"/>
        </w:rPr>
        <w:t>备份投标文件（“.bfbs”格式）：</w:t>
      </w:r>
    </w:p>
    <w:p>
      <w:pPr>
        <w:pStyle w:val="7"/>
        <w:shd w:val="clear" w:color="auto" w:fill="auto"/>
        <w:snapToGrid w:val="0"/>
        <w:spacing w:line="360" w:lineRule="auto"/>
        <w:ind w:firstLine="600" w:firstLineChars="250"/>
        <w:outlineLvl w:val="9"/>
        <w:rPr>
          <w:rFonts w:hint="eastAsia" w:ascii="仿宋" w:hAnsi="仿宋" w:eastAsia="仿宋" w:cs="仿宋"/>
          <w:color w:val="auto"/>
          <w:sz w:val="24"/>
          <w:szCs w:val="24"/>
          <w:highlight w:val="none"/>
          <w:lang w:bidi="zh-CN"/>
        </w:rPr>
      </w:pPr>
      <w:r>
        <w:rPr>
          <w:rFonts w:hint="eastAsia" w:ascii="仿宋" w:hAnsi="仿宋" w:eastAsia="仿宋" w:cs="仿宋"/>
          <w:b w:val="0"/>
          <w:bCs/>
          <w:color w:val="auto"/>
          <w:sz w:val="24"/>
          <w:szCs w:val="24"/>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4"/>
          <w:szCs w:val="24"/>
          <w:highlight w:val="none"/>
          <w:lang w:bidi="zh-CN"/>
        </w:rPr>
        <w:t>“备份投标文件”以投标截止时间前指定接收邮箱最终收到的文件为准，逾期或未按要求提供的视为未提供，建议供应商提前1日办理邮件提供事宜（接收人邮箱：</w:t>
      </w:r>
      <w:r>
        <w:rPr>
          <w:rFonts w:hint="eastAsia" w:ascii="仿宋" w:hAnsi="仿宋" w:eastAsia="仿宋" w:cs="仿宋"/>
          <w:color w:val="auto"/>
          <w:sz w:val="24"/>
          <w:szCs w:val="24"/>
          <w:highlight w:val="none"/>
          <w:u w:val="single"/>
          <w:lang w:val="en-US" w:bidi="zh-CN"/>
        </w:rPr>
        <w:t>820740061@qq.com</w:t>
      </w:r>
      <w:r>
        <w:rPr>
          <w:rStyle w:val="27"/>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7"/>
          <w:rFonts w:hint="eastAsia" w:ascii="仿宋" w:hAnsi="仿宋" w:eastAsia="仿宋" w:cs="仿宋"/>
          <w:color w:val="auto"/>
          <w:sz w:val="24"/>
          <w:szCs w:val="24"/>
          <w:highlight w:val="none"/>
          <w:u w:val="single"/>
          <w:lang w:bidi="zh-CN"/>
        </w:rPr>
        <w:t>，电话：</w:t>
      </w:r>
      <w:r>
        <w:rPr>
          <w:rStyle w:val="27"/>
          <w:rFonts w:hint="eastAsia" w:ascii="仿宋" w:hAnsi="仿宋" w:eastAsia="仿宋" w:cs="仿宋"/>
          <w:color w:val="auto"/>
          <w:sz w:val="24"/>
          <w:szCs w:val="24"/>
          <w:highlight w:val="none"/>
          <w:u w:val="single"/>
          <w:lang w:val="en-US" w:bidi="zh-CN"/>
        </w:rPr>
        <w:t>13779615026</w:t>
      </w:r>
      <w:r>
        <w:rPr>
          <w:rFonts w:hint="eastAsia" w:ascii="仿宋" w:hAnsi="仿宋" w:eastAsia="仿宋" w:cs="仿宋"/>
          <w:color w:val="auto"/>
          <w:sz w:val="24"/>
          <w:szCs w:val="24"/>
          <w:highlight w:val="none"/>
          <w:lang w:bidi="zh-CN"/>
        </w:rPr>
        <w:t>）；</w:t>
      </w:r>
    </w:p>
    <w:p>
      <w:pPr>
        <w:pStyle w:val="7"/>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lang w:bidi="zh-CN"/>
        </w:rPr>
      </w:pPr>
      <w:r>
        <w:rPr>
          <w:rFonts w:hint="eastAsia" w:ascii="仿宋" w:hAnsi="仿宋" w:eastAsia="仿宋" w:cs="仿宋"/>
          <w:b w:val="0"/>
          <w:bCs/>
          <w:color w:val="auto"/>
          <w:sz w:val="24"/>
          <w:szCs w:val="24"/>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27.</w:t>
      </w:r>
      <w:r>
        <w:rPr>
          <w:rFonts w:hint="eastAsia" w:ascii="仿宋" w:hAnsi="仿宋" w:eastAsia="仿宋" w:cs="仿宋"/>
          <w:b/>
          <w:color w:val="auto"/>
          <w:sz w:val="24"/>
          <w:szCs w:val="24"/>
          <w:highlight w:val="none"/>
        </w:rPr>
        <w:t>投标文件的递交要求</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（2）备份电子投标文件必须在投标截止时间前送达指定的投标地点。备份电子投标文件在截止时间后提交，采购组织机构将拒绝接收。</w:t>
      </w:r>
    </w:p>
    <w:p>
      <w:pPr>
        <w:shd w:val="clear" w:color="auto" w:fill="auto"/>
        <w:tabs>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（3）如有特殊情况，采购组织机构延长截止时间和开标时间，采购组织机构和供应商的权利和义务将受到新的截止时间和开标时间的约束。</w:t>
      </w:r>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28．投标文件的补充、修改与撤回</w:t>
      </w:r>
    </w:p>
    <w:p>
      <w:pPr>
        <w:shd w:val="clear" w:color="auto" w:fill="auto"/>
        <w:tabs>
          <w:tab w:val="left" w:pos="960"/>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bookmarkStart w:id="26" w:name="_Toc469495728"/>
    </w:p>
    <w:p>
      <w:pP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hd w:val="clear" w:color="auto" w:fill="auto"/>
        <w:tabs>
          <w:tab w:val="left" w:pos="960"/>
          <w:tab w:val="left" w:pos="1418"/>
        </w:tabs>
        <w:autoSpaceDE w:val="0"/>
        <w:autoSpaceDN w:val="0"/>
        <w:adjustRightInd w:val="0"/>
        <w:snapToGrid w:val="0"/>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（五）开 标、评标和定标</w:t>
      </w:r>
      <w:bookmarkEnd w:id="26"/>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bookmarkStart w:id="27" w:name="_Toc73975822"/>
      <w:r>
        <w:rPr>
          <w:rFonts w:hint="eastAsia" w:ascii="仿宋" w:hAnsi="仿宋" w:eastAsia="仿宋" w:cs="仿宋"/>
          <w:b/>
          <w:bCs/>
          <w:color w:val="auto"/>
          <w:sz w:val="24"/>
          <w:szCs w:val="24"/>
          <w:highlight w:val="none"/>
          <w:lang w:val="en-US" w:eastAsia="zh-CN"/>
        </w:rPr>
        <w:t>29.1开标邀请</w:t>
      </w:r>
      <w:bookmarkEnd w:id="27"/>
    </w:p>
    <w:p>
      <w:pPr>
        <w:pStyle w:val="12"/>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开标准备：本项目开标的准备工作由采购组织机构负责落实，开标过程由采购组织机构负责记录；</w:t>
      </w:r>
    </w:p>
    <w:p>
      <w:pPr>
        <w:pStyle w:val="12"/>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rPr>
        <w:t>开标主持：本项目开标由采购人或者采购代理机构主持；</w:t>
      </w:r>
    </w:p>
    <w:p>
      <w:pPr>
        <w:pStyle w:val="12"/>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lang w:val="en-US" w:eastAsia="zh-CN"/>
        </w:rPr>
        <w:t>3</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rPr>
        <w:t>开标邀请：本项目采用电子交易，采购组织机构将按照采购文件规定的时间通过“</w:t>
      </w:r>
      <w:r>
        <w:rPr>
          <w:rFonts w:hint="eastAsia" w:ascii="仿宋" w:hAnsi="仿宋" w:eastAsia="仿宋" w:cs="仿宋"/>
          <w:b w:val="0"/>
          <w:color w:val="auto"/>
          <w:sz w:val="24"/>
          <w:szCs w:val="24"/>
          <w:highlight w:val="none"/>
          <w:lang w:eastAsia="zh-CN"/>
        </w:rPr>
        <w:t>新疆</w:t>
      </w:r>
      <w:r>
        <w:rPr>
          <w:rFonts w:hint="eastAsia" w:ascii="仿宋" w:hAnsi="仿宋" w:eastAsia="仿宋" w:cs="仿宋"/>
          <w:b w:val="0"/>
          <w:color w:val="auto"/>
          <w:sz w:val="24"/>
          <w:szCs w:val="24"/>
          <w:highlight w:val="none"/>
        </w:rPr>
        <w:t>政府采购云平台，网址：</w:t>
      </w:r>
      <w:r>
        <w:rPr>
          <w:rFonts w:hint="eastAsia" w:ascii="仿宋" w:hAnsi="仿宋" w:eastAsia="仿宋" w:cs="仿宋"/>
          <w:b w:val="0"/>
          <w:color w:val="auto"/>
          <w:sz w:val="24"/>
          <w:szCs w:val="24"/>
          <w:highlight w:val="none"/>
        </w:rPr>
        <w:fldChar w:fldCharType="begin"/>
      </w:r>
      <w:r>
        <w:rPr>
          <w:rFonts w:hint="eastAsia" w:ascii="仿宋" w:hAnsi="仿宋" w:eastAsia="仿宋" w:cs="仿宋"/>
          <w:b w:val="0"/>
          <w:color w:val="auto"/>
          <w:sz w:val="24"/>
          <w:szCs w:val="24"/>
          <w:highlight w:val="none"/>
        </w:rPr>
        <w:instrText xml:space="preserve">HYPERLINK "http://www.zcygov.cn"</w:instrText>
      </w:r>
      <w:r>
        <w:rPr>
          <w:rFonts w:hint="eastAsia" w:ascii="仿宋" w:hAnsi="仿宋" w:eastAsia="仿宋" w:cs="仿宋"/>
          <w:b w:val="0"/>
          <w:color w:val="auto"/>
          <w:sz w:val="24"/>
          <w:szCs w:val="24"/>
          <w:highlight w:val="none"/>
        </w:rPr>
        <w:fldChar w:fldCharType="separate"/>
      </w:r>
      <w:r>
        <w:rPr>
          <w:rStyle w:val="27"/>
          <w:rFonts w:hint="eastAsia" w:ascii="仿宋" w:hAnsi="仿宋" w:eastAsia="仿宋" w:cs="仿宋"/>
          <w:b w:val="0"/>
          <w:color w:val="auto"/>
          <w:sz w:val="24"/>
          <w:szCs w:val="24"/>
          <w:highlight w:val="none"/>
          <w:u w:val="none"/>
        </w:rPr>
        <w:t>www.zcygov.cn</w:t>
      </w:r>
      <w:r>
        <w:rPr>
          <w:rFonts w:hint="eastAsia" w:ascii="仿宋" w:hAnsi="仿宋" w:eastAsia="仿宋" w:cs="仿宋"/>
          <w:color w:val="auto"/>
          <w:sz w:val="24"/>
          <w:szCs w:val="24"/>
          <w:highlight w:val="none"/>
        </w:rPr>
        <w:fldChar w:fldCharType="end"/>
      </w:r>
      <w:r>
        <w:rPr>
          <w:rFonts w:hint="eastAsia" w:ascii="仿宋" w:hAnsi="仿宋" w:eastAsia="仿宋" w:cs="仿宋"/>
          <w:b w:val="0"/>
          <w:color w:val="auto"/>
          <w:sz w:val="24"/>
          <w:szCs w:val="24"/>
          <w:highlight w:val="none"/>
        </w:rPr>
        <w:t>”组织开标、开启投标响应文件，所有供应商均应当准时在线参加。</w:t>
      </w:r>
    </w:p>
    <w:p>
      <w:pPr>
        <w:pStyle w:val="12"/>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lang w:val="en-US" w:eastAsia="zh-CN"/>
        </w:rPr>
        <w:t>4</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bookmarkStart w:id="28" w:name="_Toc73975823"/>
      <w:r>
        <w:rPr>
          <w:rFonts w:hint="eastAsia" w:ascii="仿宋" w:hAnsi="仿宋" w:eastAsia="仿宋" w:cs="仿宋"/>
          <w:b/>
          <w:color w:val="auto"/>
          <w:sz w:val="24"/>
          <w:szCs w:val="24"/>
          <w:highlight w:val="none"/>
          <w:lang w:val="en-US" w:eastAsia="zh-CN"/>
        </w:rPr>
        <w:t>29.2</w:t>
      </w:r>
      <w:r>
        <w:rPr>
          <w:rFonts w:hint="eastAsia" w:ascii="仿宋" w:hAnsi="仿宋" w:eastAsia="仿宋" w:cs="仿宋"/>
          <w:b/>
          <w:bCs/>
          <w:color w:val="auto"/>
          <w:sz w:val="24"/>
          <w:szCs w:val="24"/>
          <w:highlight w:val="none"/>
        </w:rPr>
        <w:t>开标程序（先资格、商务技术后报价）</w:t>
      </w:r>
      <w:bookmarkEnd w:id="28"/>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开标时间到后，主持人宣布开标会议开始。</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投标文件解密（</w:t>
      </w:r>
      <w:r>
        <w:rPr>
          <w:rFonts w:hint="eastAsia" w:ascii="仿宋" w:hAnsi="仿宋" w:eastAsia="仿宋" w:cs="仿宋"/>
          <w:b/>
          <w:color w:val="auto"/>
          <w:kern w:val="0"/>
          <w:sz w:val="24"/>
          <w:szCs w:val="24"/>
          <w:highlight w:val="none"/>
        </w:rPr>
        <w:t>解密规定见《供应商须知前附表》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投标文件解密异常情况处理（</w:t>
      </w:r>
      <w:r>
        <w:rPr>
          <w:rFonts w:hint="eastAsia" w:ascii="仿宋" w:hAnsi="仿宋" w:eastAsia="仿宋" w:cs="仿宋"/>
          <w:b/>
          <w:color w:val="auto"/>
          <w:kern w:val="0"/>
          <w:sz w:val="24"/>
          <w:szCs w:val="24"/>
          <w:highlight w:val="none"/>
        </w:rPr>
        <w:t>处理办法见《供应商须知前附表》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公布投标文件解密情况（投标文件成功解密的供应商名单等信息），组织签署</w:t>
      </w:r>
      <w:r>
        <w:rPr>
          <w:rFonts w:hint="eastAsia" w:ascii="仿宋" w:hAnsi="仿宋" w:eastAsia="仿宋" w:cs="仿宋"/>
          <w:b/>
          <w:bCs/>
          <w:color w:val="auto"/>
          <w:kern w:val="0"/>
          <w:sz w:val="24"/>
          <w:szCs w:val="24"/>
          <w:highlight w:val="none"/>
        </w:rPr>
        <w:t>《政府采购活动现场确认声明书》（疫情防控期间，将通过电子邮件形式组织签署），供应商应在20分钟内通过邮件形式将经签署的《政府采购活动现场确认声明书》发送至采购代理机构指定邮箱820740061@qq.com，逾期发送或未发送的视为无异议</w:t>
      </w:r>
      <w:r>
        <w:rPr>
          <w:rFonts w:hint="eastAsia" w:ascii="仿宋" w:hAnsi="仿宋" w:eastAsia="仿宋" w:cs="仿宋"/>
          <w:color w:val="auto"/>
          <w:kern w:val="0"/>
          <w:sz w:val="24"/>
          <w:szCs w:val="24"/>
          <w:highlight w:val="none"/>
        </w:rPr>
        <w:t>。</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开启标书信息（资格</w:t>
      </w:r>
      <w:r>
        <w:rPr>
          <w:rFonts w:hint="eastAsia" w:ascii="仿宋" w:hAnsi="仿宋" w:eastAsia="仿宋" w:cs="仿宋"/>
          <w:color w:val="auto"/>
          <w:kern w:val="0"/>
          <w:sz w:val="24"/>
          <w:szCs w:val="24"/>
          <w:highlight w:val="none"/>
          <w:lang w:eastAsia="zh-CN"/>
        </w:rPr>
        <w:t>证明</w:t>
      </w:r>
      <w:r>
        <w:rPr>
          <w:rFonts w:hint="eastAsia" w:ascii="仿宋" w:hAnsi="仿宋" w:eastAsia="仿宋" w:cs="仿宋"/>
          <w:color w:val="auto"/>
          <w:kern w:val="0"/>
          <w:sz w:val="24"/>
          <w:szCs w:val="24"/>
          <w:highlight w:val="none"/>
        </w:rPr>
        <w:t>文件、商务技术文件）。标书信息开启后，首先由采购人或采购代理机构</w:t>
      </w:r>
      <w:r>
        <w:rPr>
          <w:rFonts w:hint="eastAsia" w:ascii="仿宋" w:hAnsi="仿宋" w:eastAsia="仿宋" w:cs="仿宋"/>
          <w:color w:val="auto"/>
          <w:kern w:val="0"/>
          <w:sz w:val="24"/>
          <w:szCs w:val="24"/>
          <w:highlight w:val="none"/>
          <w:lang w:eastAsia="zh-CN"/>
        </w:rPr>
        <w:t>或评审小组</w:t>
      </w:r>
      <w:r>
        <w:rPr>
          <w:rFonts w:hint="eastAsia" w:ascii="仿宋" w:hAnsi="仿宋" w:eastAsia="仿宋" w:cs="仿宋"/>
          <w:color w:val="auto"/>
          <w:kern w:val="0"/>
          <w:sz w:val="24"/>
          <w:szCs w:val="24"/>
          <w:highlight w:val="none"/>
        </w:rPr>
        <w:t>依法对投标供应商的资格</w:t>
      </w:r>
      <w:r>
        <w:rPr>
          <w:rFonts w:hint="eastAsia" w:ascii="仿宋" w:hAnsi="仿宋" w:eastAsia="仿宋" w:cs="仿宋"/>
          <w:color w:val="auto"/>
          <w:kern w:val="0"/>
          <w:sz w:val="24"/>
          <w:szCs w:val="24"/>
          <w:highlight w:val="none"/>
          <w:lang w:eastAsia="zh-CN"/>
        </w:rPr>
        <w:t>证明</w:t>
      </w:r>
      <w:r>
        <w:rPr>
          <w:rFonts w:hint="eastAsia" w:ascii="仿宋" w:hAnsi="仿宋" w:eastAsia="仿宋" w:cs="仿宋"/>
          <w:color w:val="auto"/>
          <w:kern w:val="0"/>
          <w:sz w:val="24"/>
          <w:szCs w:val="24"/>
          <w:highlight w:val="none"/>
        </w:rPr>
        <w:t>文件进行审查（具体见本章“</w:t>
      </w:r>
      <w:r>
        <w:rPr>
          <w:rFonts w:hint="eastAsia" w:ascii="仿宋" w:hAnsi="仿宋" w:eastAsia="仿宋" w:cs="仿宋"/>
          <w:color w:val="auto"/>
          <w:kern w:val="0"/>
          <w:sz w:val="24"/>
          <w:szCs w:val="24"/>
          <w:highlight w:val="none"/>
          <w:lang w:val="en-US" w:eastAsia="zh-CN"/>
        </w:rPr>
        <w:t>29.3</w:t>
      </w:r>
      <w:r>
        <w:rPr>
          <w:rFonts w:hint="eastAsia" w:ascii="仿宋" w:hAnsi="仿宋" w:eastAsia="仿宋" w:cs="仿宋"/>
          <w:color w:val="auto"/>
          <w:kern w:val="0"/>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商务技术评审无效的供应商，其报价不再进入评审。</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开启有效投标供应商的报价，公布开标一览表有关内容，</w:t>
      </w:r>
      <w:r>
        <w:rPr>
          <w:rFonts w:hint="eastAsia" w:ascii="仿宋" w:hAnsi="仿宋" w:eastAsia="仿宋" w:cs="仿宋"/>
          <w:color w:val="auto"/>
          <w:sz w:val="24"/>
          <w:szCs w:val="24"/>
          <w:highlight w:val="none"/>
          <w:lang w:bidi="zh-CN"/>
        </w:rPr>
        <w:t>并【开启签章时段】，供应商对开标纪录进行在线签章确认（不予确认的应说明理由，否则视为无异议）</w:t>
      </w:r>
      <w:r>
        <w:rPr>
          <w:rFonts w:hint="eastAsia" w:ascii="仿宋" w:hAnsi="仿宋" w:eastAsia="仿宋" w:cs="仿宋"/>
          <w:color w:val="auto"/>
          <w:kern w:val="0"/>
          <w:sz w:val="24"/>
          <w:szCs w:val="24"/>
          <w:highlight w:val="none"/>
        </w:rPr>
        <w:t>。开标结束后，由评标委员会对报价的合理性、准确性等进行审查核实</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评审结束后，采购代理机构在系统上公布评审结果。</w:t>
      </w:r>
    </w:p>
    <w:p>
      <w:pPr>
        <w:shd w:val="clear" w:color="auto" w:fill="auto"/>
        <w:snapToGrid w:val="0"/>
        <w:spacing w:line="360" w:lineRule="auto"/>
        <w:ind w:left="48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特别情况说明：</w:t>
      </w:r>
    </w:p>
    <w:p>
      <w:pPr>
        <w:shd w:val="clear" w:color="auto" w:fill="auto"/>
        <w:snapToGrid w:val="0"/>
        <w:spacing w:line="360" w:lineRule="auto"/>
        <w:ind w:firstLine="424" w:firstLineChars="177"/>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（1）本项目采用电子交易，如遇“</w:t>
      </w:r>
      <w:r>
        <w:rPr>
          <w:rFonts w:hint="eastAsia" w:ascii="仿宋" w:hAnsi="仿宋" w:eastAsia="仿宋" w:cs="仿宋"/>
          <w:b/>
          <w:color w:val="auto"/>
          <w:kern w:val="0"/>
          <w:sz w:val="24"/>
          <w:szCs w:val="24"/>
          <w:highlight w:val="none"/>
          <w:lang w:eastAsia="zh-CN"/>
        </w:rPr>
        <w:t>新疆</w:t>
      </w:r>
      <w:r>
        <w:rPr>
          <w:rFonts w:hint="eastAsia" w:ascii="仿宋" w:hAnsi="仿宋" w:eastAsia="仿宋" w:cs="仿宋"/>
          <w:b/>
          <w:color w:val="auto"/>
          <w:kern w:val="0"/>
          <w:sz w:val="24"/>
          <w:szCs w:val="24"/>
          <w:highlight w:val="none"/>
        </w:rPr>
        <w:t>政府采购云平台”电子化开标或评审程序调整的，按调整后程序执行。</w:t>
      </w:r>
    </w:p>
    <w:p>
      <w:pPr>
        <w:shd w:val="clear" w:color="auto" w:fill="auto"/>
        <w:snapToGrid w:val="0"/>
        <w:spacing w:line="360" w:lineRule="auto"/>
        <w:ind w:firstLine="424" w:firstLineChars="177"/>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（2）开标过程中需要相关当事人进行</w:t>
      </w:r>
      <w:r>
        <w:rPr>
          <w:rFonts w:hint="eastAsia" w:ascii="仿宋" w:hAnsi="仿宋" w:eastAsia="仿宋" w:cs="仿宋"/>
          <w:b/>
          <w:color w:val="auto"/>
          <w:kern w:val="0"/>
          <w:sz w:val="24"/>
          <w:szCs w:val="24"/>
          <w:highlight w:val="none"/>
          <w:lang w:eastAsia="zh-CN"/>
        </w:rPr>
        <w:t>签章</w:t>
      </w:r>
      <w:r>
        <w:rPr>
          <w:rFonts w:hint="eastAsia" w:ascii="仿宋" w:hAnsi="仿宋" w:eastAsia="仿宋" w:cs="仿宋"/>
          <w:b/>
          <w:color w:val="auto"/>
          <w:kern w:val="0"/>
          <w:sz w:val="24"/>
          <w:szCs w:val="24"/>
          <w:highlight w:val="none"/>
        </w:rPr>
        <w:t>或盖章确认的材料将通过“政府采购云平台”进行，若因“政府采购云平台”技术问题无法进行</w:t>
      </w:r>
      <w:r>
        <w:rPr>
          <w:rFonts w:hint="eastAsia" w:ascii="仿宋" w:hAnsi="仿宋" w:eastAsia="仿宋" w:cs="仿宋"/>
          <w:b/>
          <w:color w:val="auto"/>
          <w:kern w:val="0"/>
          <w:sz w:val="24"/>
          <w:szCs w:val="24"/>
          <w:highlight w:val="none"/>
          <w:lang w:eastAsia="zh-CN"/>
        </w:rPr>
        <w:t>签章</w:t>
      </w:r>
      <w:r>
        <w:rPr>
          <w:rFonts w:hint="eastAsia" w:ascii="仿宋" w:hAnsi="仿宋" w:eastAsia="仿宋" w:cs="仿宋"/>
          <w:b/>
          <w:color w:val="auto"/>
          <w:kern w:val="0"/>
          <w:sz w:val="24"/>
          <w:szCs w:val="24"/>
          <w:highlight w:val="none"/>
        </w:rPr>
        <w:t>或盖章确认的，采购组织机构将通过电子邮件等形式予以确认，</w:t>
      </w:r>
      <w:r>
        <w:rPr>
          <w:rFonts w:hint="eastAsia" w:ascii="仿宋" w:hAnsi="仿宋" w:eastAsia="仿宋" w:cs="仿宋"/>
          <w:b/>
          <w:color w:val="auto"/>
          <w:kern w:val="0"/>
          <w:sz w:val="24"/>
          <w:szCs w:val="24"/>
          <w:highlight w:val="none"/>
          <w:u w:val="single"/>
        </w:rPr>
        <w:t>请供应商保证办理投标事宜人员电话畅通、网络在线，</w:t>
      </w:r>
      <w:r>
        <w:rPr>
          <w:rFonts w:hint="eastAsia" w:ascii="仿宋" w:hAnsi="仿宋" w:eastAsia="仿宋" w:cs="仿宋"/>
          <w:b/>
          <w:color w:val="auto"/>
          <w:kern w:val="0"/>
          <w:sz w:val="24"/>
          <w:szCs w:val="24"/>
          <w:highlight w:val="none"/>
          <w:u w:val="single"/>
          <w:lang w:eastAsia="zh-CN"/>
        </w:rPr>
        <w:t>签章</w:t>
      </w:r>
      <w:r>
        <w:rPr>
          <w:rFonts w:hint="eastAsia" w:ascii="仿宋" w:hAnsi="仿宋" w:eastAsia="仿宋" w:cs="仿宋"/>
          <w:b/>
          <w:color w:val="auto"/>
          <w:kern w:val="0"/>
          <w:sz w:val="24"/>
          <w:szCs w:val="24"/>
          <w:highlight w:val="none"/>
          <w:u w:val="single"/>
        </w:rPr>
        <w:t>或盖章确认的时间为20分钟。如未及时</w:t>
      </w:r>
      <w:r>
        <w:rPr>
          <w:rFonts w:hint="eastAsia" w:ascii="仿宋" w:hAnsi="仿宋" w:eastAsia="仿宋" w:cs="仿宋"/>
          <w:b/>
          <w:color w:val="auto"/>
          <w:kern w:val="0"/>
          <w:sz w:val="24"/>
          <w:szCs w:val="24"/>
          <w:highlight w:val="none"/>
          <w:u w:val="single"/>
          <w:lang w:eastAsia="zh-CN"/>
        </w:rPr>
        <w:t>签章</w:t>
      </w:r>
      <w:r>
        <w:rPr>
          <w:rFonts w:hint="eastAsia" w:ascii="仿宋" w:hAnsi="仿宋" w:eastAsia="仿宋" w:cs="仿宋"/>
          <w:b/>
          <w:color w:val="auto"/>
          <w:kern w:val="0"/>
          <w:sz w:val="24"/>
          <w:szCs w:val="24"/>
          <w:highlight w:val="none"/>
          <w:u w:val="single"/>
        </w:rPr>
        <w:t>或盖章确认的，视为无异议</w:t>
      </w:r>
      <w:r>
        <w:rPr>
          <w:rFonts w:hint="eastAsia" w:ascii="仿宋" w:hAnsi="仿宋" w:eastAsia="仿宋" w:cs="仿宋"/>
          <w:b/>
          <w:color w:val="auto"/>
          <w:kern w:val="0"/>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29.3</w:t>
      </w:r>
      <w:r>
        <w:rPr>
          <w:rFonts w:hint="eastAsia" w:ascii="仿宋" w:hAnsi="仿宋" w:eastAsia="仿宋" w:cs="仿宋"/>
          <w:b/>
          <w:color w:val="auto"/>
          <w:kern w:val="0"/>
          <w:sz w:val="24"/>
          <w:szCs w:val="24"/>
          <w:highlight w:val="none"/>
        </w:rPr>
        <w:t xml:space="preserve"> 投标供应商资格审查：</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kern w:val="0"/>
          <w:sz w:val="24"/>
          <w:szCs w:val="24"/>
          <w:highlight w:val="none"/>
        </w:rPr>
        <w:t>开标（标书信息开启）后，采购人或采购代理机构</w:t>
      </w:r>
      <w:r>
        <w:rPr>
          <w:rFonts w:hint="eastAsia" w:ascii="仿宋" w:hAnsi="仿宋" w:eastAsia="仿宋" w:cs="仿宋"/>
          <w:bCs/>
          <w:color w:val="auto"/>
          <w:kern w:val="0"/>
          <w:sz w:val="24"/>
          <w:szCs w:val="24"/>
          <w:highlight w:val="none"/>
          <w:lang w:eastAsia="zh-CN"/>
        </w:rPr>
        <w:t>或</w:t>
      </w:r>
      <w:r>
        <w:rPr>
          <w:rFonts w:hint="eastAsia" w:ascii="仿宋" w:hAnsi="仿宋" w:eastAsia="仿宋" w:cs="仿宋"/>
          <w:color w:val="auto"/>
          <w:kern w:val="0"/>
          <w:sz w:val="24"/>
          <w:szCs w:val="24"/>
          <w:highlight w:val="none"/>
          <w:lang w:eastAsia="zh-CN"/>
        </w:rPr>
        <w:t>评审小组</w:t>
      </w:r>
      <w:r>
        <w:rPr>
          <w:rFonts w:hint="eastAsia" w:ascii="仿宋" w:hAnsi="仿宋" w:eastAsia="仿宋" w:cs="仿宋"/>
          <w:bCs/>
          <w:color w:val="auto"/>
          <w:kern w:val="0"/>
          <w:sz w:val="24"/>
          <w:szCs w:val="24"/>
          <w:highlight w:val="none"/>
        </w:rPr>
        <w:t>首先依法对投标供应商的资格文件进行审查，审查各投标供应商的资格符合情况。</w:t>
      </w:r>
      <w:r>
        <w:rPr>
          <w:rFonts w:hint="eastAsia" w:ascii="仿宋" w:hAnsi="仿宋" w:eastAsia="仿宋" w:cs="仿宋"/>
          <w:color w:val="auto"/>
          <w:sz w:val="24"/>
          <w:szCs w:val="24"/>
          <w:highlight w:val="none"/>
        </w:rPr>
        <w:t>采购人或采购代理机构</w:t>
      </w:r>
      <w:r>
        <w:rPr>
          <w:rFonts w:hint="eastAsia" w:ascii="仿宋" w:hAnsi="仿宋" w:eastAsia="仿宋" w:cs="仿宋"/>
          <w:bCs/>
          <w:color w:val="auto"/>
          <w:kern w:val="0"/>
          <w:sz w:val="24"/>
          <w:szCs w:val="24"/>
          <w:highlight w:val="none"/>
          <w:lang w:eastAsia="zh-CN"/>
        </w:rPr>
        <w:t>或</w:t>
      </w:r>
      <w:r>
        <w:rPr>
          <w:rFonts w:hint="eastAsia" w:ascii="仿宋" w:hAnsi="仿宋" w:eastAsia="仿宋" w:cs="仿宋"/>
          <w:color w:val="auto"/>
          <w:kern w:val="0"/>
          <w:sz w:val="24"/>
          <w:szCs w:val="24"/>
          <w:highlight w:val="none"/>
          <w:lang w:eastAsia="zh-CN"/>
        </w:rPr>
        <w:t>评审小组</w:t>
      </w:r>
      <w:r>
        <w:rPr>
          <w:rFonts w:hint="eastAsia" w:ascii="仿宋" w:hAnsi="仿宋" w:eastAsia="仿宋" w:cs="仿宋"/>
          <w:color w:val="auto"/>
          <w:sz w:val="24"/>
          <w:szCs w:val="24"/>
          <w:highlight w:val="none"/>
        </w:rPr>
        <w:t>对投标供应商所提交的资格证明材料仅负审核的责任。如发现投标供应商所提交的资格证明材料不合法或与事实不符，采购人可取消其中标资格并追究投标供应商的法律责任。</w:t>
      </w:r>
    </w:p>
    <w:p>
      <w:pPr>
        <w:pStyle w:val="7"/>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7"/>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w:t>
      </w:r>
      <w:r>
        <w:rPr>
          <w:rFonts w:hint="eastAsia" w:ascii="仿宋" w:hAnsi="仿宋" w:eastAsia="仿宋" w:cs="仿宋"/>
          <w:b w:val="0"/>
          <w:bCs/>
          <w:color w:val="auto"/>
          <w:kern w:val="0"/>
          <w:sz w:val="24"/>
          <w:szCs w:val="24"/>
          <w:highlight w:val="none"/>
        </w:rPr>
        <w:t>供应商</w:t>
      </w:r>
      <w:r>
        <w:rPr>
          <w:rFonts w:hint="eastAsia" w:ascii="仿宋" w:hAnsi="仿宋" w:eastAsia="仿宋" w:cs="仿宋"/>
          <w:b w:val="0"/>
          <w:bCs/>
          <w:color w:val="auto"/>
          <w:sz w:val="24"/>
          <w:szCs w:val="24"/>
          <w:highlight w:val="none"/>
        </w:rPr>
        <w:t>信用记录查询与使用：</w:t>
      </w:r>
      <w:r>
        <w:rPr>
          <w:rFonts w:hint="eastAsia" w:ascii="仿宋" w:hAnsi="仿宋" w:eastAsia="仿宋" w:cs="仿宋"/>
          <w:b w:val="0"/>
          <w:bCs/>
          <w:color w:val="auto"/>
          <w:kern w:val="0"/>
          <w:sz w:val="24"/>
          <w:szCs w:val="24"/>
          <w:highlight w:val="none"/>
        </w:rPr>
        <w:t>见《供应商须知前附表》。</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80" w:firstLineChars="20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FF0000"/>
          <w:kern w:val="0"/>
          <w:szCs w:val="21"/>
          <w:highlight w:val="none"/>
          <w:lang w:val="en-US" w:eastAsia="zh-CN"/>
        </w:rPr>
        <w:t>30</w:t>
      </w:r>
      <w:r>
        <w:rPr>
          <w:rFonts w:hint="eastAsia" w:ascii="仿宋" w:hAnsi="仿宋" w:eastAsia="仿宋" w:cs="仿宋"/>
          <w:color w:val="FF0000"/>
          <w:kern w:val="0"/>
          <w:szCs w:val="21"/>
          <w:highlight w:val="none"/>
        </w:rPr>
        <w:t>％</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pPr>
        <w:widowControl/>
        <w:shd w:val="clear" w:color="auto" w:fill="auto"/>
        <w:spacing w:line="440" w:lineRule="exact"/>
        <w:ind w:firstLine="48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pPr>
        <w:widowControl/>
        <w:shd w:val="clear" w:color="auto" w:fill="auto"/>
        <w:spacing w:line="440" w:lineRule="exact"/>
        <w:ind w:firstLine="480"/>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8 起草评审报告，所有评审人员须在评审报告上</w:t>
      </w:r>
      <w:r>
        <w:rPr>
          <w:rFonts w:hint="eastAsia" w:ascii="仿宋" w:hAnsi="仿宋" w:eastAsia="仿宋" w:cs="仿宋"/>
          <w:color w:val="auto"/>
          <w:szCs w:val="21"/>
          <w:highlight w:val="none"/>
          <w:lang w:eastAsia="zh-CN"/>
        </w:rPr>
        <w:t>签章</w:t>
      </w:r>
      <w:r>
        <w:rPr>
          <w:rFonts w:hint="eastAsia" w:ascii="仿宋" w:hAnsi="仿宋" w:eastAsia="仿宋" w:cs="仿宋"/>
          <w:color w:val="auto"/>
          <w:szCs w:val="21"/>
          <w:highlight w:val="none"/>
        </w:rPr>
        <w:t xml:space="preserve">确认，对自己的评审意见承担法律责任。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pPr>
        <w:shd w:val="clear" w:color="auto" w:fill="auto"/>
        <w:spacing w:line="440" w:lineRule="exact"/>
        <w:ind w:firstLine="240" w:firstLineChars="100"/>
        <w:jc w:val="left"/>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38．无效投标文件有下列情形之一的，投标文件按无效标处理：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投标文件内容未按招标文件规定签章或盖章的；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napToGrid w:val="0"/>
        <w:spacing w:line="360" w:lineRule="exact"/>
        <w:ind w:firstLine="421"/>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 xml:space="preserve"> </w:t>
      </w:r>
      <w:bookmarkStart w:id="29" w:name="_Toc469495729"/>
      <w:r>
        <w:rPr>
          <w:rFonts w:hint="eastAsia" w:ascii="仿宋" w:hAnsi="仿宋" w:eastAsia="仿宋" w:cs="仿宋"/>
          <w:b w:val="0"/>
          <w:bCs w:val="0"/>
          <w:color w:val="auto"/>
          <w:szCs w:val="21"/>
          <w:highlight w:val="none"/>
          <w:lang w:val="en-US" w:eastAsia="zh-CN"/>
        </w:rPr>
        <w:t>41.1采购结果确认（确定中标供应商）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40" w:firstLineChars="100"/>
        <w:jc w:val="left"/>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pacing w:before="156" w:beforeLines="50" w:line="44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8"/>
          <w:szCs w:val="28"/>
          <w:highlight w:val="none"/>
        </w:rPr>
        <w:t>（六）合同的授予</w:t>
      </w:r>
      <w:bookmarkEnd w:id="29"/>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bookmarkStart w:id="30" w:name="_Toc73975842"/>
      <w:bookmarkStart w:id="31" w:name="_Toc469495730"/>
      <w:r>
        <w:rPr>
          <w:rFonts w:hint="eastAsia" w:ascii="仿宋" w:hAnsi="仿宋" w:eastAsia="仿宋" w:cs="仿宋"/>
          <w:b w:val="0"/>
          <w:bCs w:val="0"/>
          <w:color w:val="auto"/>
          <w:szCs w:val="21"/>
          <w:highlight w:val="none"/>
          <w:lang w:val="en-US" w:eastAsia="zh-CN"/>
        </w:rPr>
        <w:t>43．履约保证金</w:t>
      </w:r>
      <w:bookmarkEnd w:id="30"/>
    </w:p>
    <w:p>
      <w:pPr>
        <w:shd w:val="clear" w:color="auto" w:fill="auto"/>
        <w:spacing w:line="440" w:lineRule="exact"/>
        <w:ind w:firstLine="240" w:firstLineChars="100"/>
        <w:jc w:val="left"/>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Cs w:val="21"/>
          <w:highlight w:val="none"/>
          <w:lang w:val="en-US" w:eastAsia="zh-CN"/>
        </w:rPr>
        <w:t xml:space="preserve">43.1 </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应在领取《</w:t>
      </w:r>
      <w:r>
        <w:rPr>
          <w:rFonts w:hint="eastAsia" w:ascii="仿宋" w:hAnsi="仿宋" w:eastAsia="仿宋" w:cs="仿宋"/>
          <w:b w:val="0"/>
          <w:bCs w:val="0"/>
          <w:color w:val="auto"/>
          <w:sz w:val="24"/>
          <w:szCs w:val="24"/>
          <w:highlight w:val="none"/>
          <w:lang w:val="zh-CN"/>
        </w:rPr>
        <w:t>成交通知书</w:t>
      </w:r>
      <w:r>
        <w:rPr>
          <w:rFonts w:hint="eastAsia" w:ascii="仿宋" w:hAnsi="仿宋" w:eastAsia="仿宋" w:cs="仿宋"/>
          <w:b w:val="0"/>
          <w:bCs w:val="0"/>
          <w:color w:val="auto"/>
          <w:sz w:val="24"/>
          <w:szCs w:val="24"/>
          <w:highlight w:val="none"/>
        </w:rPr>
        <w:t>》后的十个日历日内，办理履约保证金，</w:t>
      </w:r>
      <w:r>
        <w:rPr>
          <w:rFonts w:hint="eastAsia" w:ascii="仿宋" w:hAnsi="仿宋" w:eastAsia="仿宋" w:cs="仿宋"/>
          <w:b w:val="0"/>
          <w:bCs w:val="0"/>
          <w:color w:val="auto"/>
          <w:sz w:val="24"/>
          <w:szCs w:val="24"/>
          <w:highlight w:val="none"/>
          <w:lang w:val="zh-CN"/>
        </w:rPr>
        <w:t>金额不超过合同总价的10%，</w:t>
      </w:r>
      <w:r>
        <w:rPr>
          <w:rFonts w:hint="eastAsia" w:ascii="仿宋" w:hAnsi="仿宋" w:eastAsia="仿宋" w:cs="仿宋"/>
          <w:b w:val="0"/>
          <w:bCs w:val="0"/>
          <w:color w:val="auto"/>
          <w:sz w:val="24"/>
          <w:szCs w:val="24"/>
          <w:highlight w:val="none"/>
        </w:rPr>
        <w:t>否则招标人可取消</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的</w:t>
      </w:r>
      <w:r>
        <w:rPr>
          <w:rFonts w:hint="eastAsia" w:ascii="仿宋" w:hAnsi="仿宋" w:eastAsia="仿宋" w:cs="仿宋"/>
          <w:b w:val="0"/>
          <w:bCs w:val="0"/>
          <w:color w:val="auto"/>
          <w:sz w:val="24"/>
          <w:szCs w:val="24"/>
          <w:highlight w:val="none"/>
          <w:lang w:val="zh-CN"/>
        </w:rPr>
        <w:t>成交</w:t>
      </w:r>
      <w:r>
        <w:rPr>
          <w:rFonts w:hint="eastAsia" w:ascii="仿宋" w:hAnsi="仿宋" w:eastAsia="仿宋" w:cs="仿宋"/>
          <w:b w:val="0"/>
          <w:bCs w:val="0"/>
          <w:color w:val="auto"/>
          <w:sz w:val="24"/>
          <w:szCs w:val="24"/>
          <w:highlight w:val="none"/>
        </w:rPr>
        <w:t>资格，并没收其投标保证金</w:t>
      </w:r>
      <w:r>
        <w:rPr>
          <w:rFonts w:hint="eastAsia" w:ascii="仿宋" w:hAnsi="仿宋" w:eastAsia="仿宋" w:cs="仿宋"/>
          <w:b w:val="0"/>
          <w:bCs w:val="0"/>
          <w:color w:val="auto"/>
          <w:sz w:val="24"/>
          <w:szCs w:val="24"/>
          <w:highlight w:val="none"/>
          <w:lang w:eastAsia="zh-CN"/>
        </w:rPr>
        <w:t>。</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（鼓励以银行、保险公司出具的履约保函形式提交；若以电汇、银行转账方式提交的，必须转到采购人的指定账户）。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bookmarkStart w:id="32" w:name="_Toc73975843"/>
      <w:r>
        <w:rPr>
          <w:rFonts w:hint="eastAsia" w:ascii="仿宋" w:hAnsi="仿宋" w:eastAsia="仿宋" w:cs="仿宋"/>
          <w:b w:val="0"/>
          <w:bCs w:val="0"/>
          <w:color w:val="auto"/>
          <w:szCs w:val="21"/>
          <w:highlight w:val="none"/>
          <w:lang w:val="en-US" w:eastAsia="zh-CN"/>
        </w:rPr>
        <w:t>44．签订合同及公告</w:t>
      </w:r>
      <w:bookmarkEnd w:id="32"/>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pPr>
        <w:shd w:val="clear" w:color="auto" w:fill="auto"/>
        <w:spacing w:line="440" w:lineRule="exact"/>
        <w:ind w:firstLine="240" w:firstLineChars="100"/>
        <w:jc w:val="left"/>
        <w:outlineLvl w:val="9"/>
        <w:rPr>
          <w:rFonts w:hint="eastAsia" w:ascii="仿宋" w:hAnsi="仿宋" w:eastAsia="仿宋" w:cs="仿宋"/>
          <w:b/>
          <w:bCs/>
          <w:color w:val="auto"/>
          <w:sz w:val="28"/>
          <w:szCs w:val="28"/>
          <w:highlight w:val="none"/>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（七）纪律和监督</w:t>
      </w:r>
      <w:bookmarkEnd w:id="31"/>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（八）质疑与投诉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供应商为自然人的，应当由本人签章；供应商为法人或者其他组织的，应当由法定代表人、主要负责人，或者其授权代表签章或者盖章，并加盖公章。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49.5供应商有下列情形之一的，采购代理机构和阿图什市财政局，将其列入不良行为记录名单：</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spacing w:line="360" w:lineRule="exact"/>
        <w:jc w:val="center"/>
        <w:outlineLvl w:val="9"/>
        <w:rPr>
          <w:rFonts w:hint="eastAsia" w:ascii="仿宋" w:hAnsi="仿宋" w:eastAsia="仿宋" w:cs="仿宋"/>
          <w:color w:val="auto"/>
          <w:sz w:val="30"/>
          <w:szCs w:val="30"/>
          <w:highlight w:val="none"/>
        </w:rPr>
      </w:pPr>
    </w:p>
    <w:p>
      <w:pPr>
        <w:shd w:val="clear" w:color="auto" w:fill="auto"/>
        <w:jc w:val="left"/>
        <w:outlineLvl w:val="9"/>
        <w:rPr>
          <w:rFonts w:hint="eastAsia" w:ascii="仿宋" w:hAnsi="仿宋" w:eastAsia="仿宋" w:cs="仿宋"/>
          <w:b/>
          <w:bCs/>
          <w:color w:val="auto"/>
          <w:sz w:val="21"/>
          <w:szCs w:val="21"/>
          <w:highlight w:val="none"/>
          <w:lang w:eastAsia="zh-CN"/>
        </w:rPr>
      </w:pPr>
    </w:p>
    <w:p>
      <w:pPr>
        <w:shd w:val="clear" w:color="auto" w:fill="auto"/>
        <w:jc w:val="left"/>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附件：</w:t>
      </w:r>
    </w:p>
    <w:p>
      <w:pPr>
        <w:shd w:val="clear" w:color="auto" w:fill="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政府采购投诉书（范本）</w:t>
      </w:r>
    </w:p>
    <w:p>
      <w:pPr>
        <w:pStyle w:val="17"/>
        <w:outlineLvl w:val="9"/>
        <w:rPr>
          <w:rFonts w:hint="eastAsia"/>
          <w:highlight w:val="none"/>
        </w:rPr>
      </w:pP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投诉人：                         法定代表人：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地址：                           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委托代理人姓名：                 职务：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住址：                           联系电话：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被投诉人：                       法定代表人：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地址：                            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我公司参加了     年    月    日被投诉人组织的（采购人）（项目名称）（项目编号）的采购活动，我公司认为该项目的（采购文件/采购过程/中标（中标）结果）损害了我公司权益，对此，我公司于     年    月    日向（采购人或者政府采购代理机构）提出了质疑，（其于    年  月  日作出书面答复，因对其作出的答复不满意）/（被质疑人未在法定期内予以答复，按照政府采购有关规定），现向贵机关提起投诉：</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1.具体的投诉事项及事实依据；</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2.质疑和质疑答复情况简要描述；</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3.投诉请求。</w:t>
      </w:r>
    </w:p>
    <w:p>
      <w:pPr>
        <w:shd w:val="clear" w:color="auto" w:fill="auto"/>
        <w:spacing w:line="440" w:lineRule="exact"/>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附件：</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1.质疑书和质疑答复书；</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2.证据材料（需注明证据来源），证人的姓名、住址和联系方式等；</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3.营业执照；</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4.法定代表人身份证明函</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5.法定代表人授权委托书（包含法定代表人和委托代理人的身份证复印件）；</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6.政府采购监管部门认为应当提供的其它材料。</w:t>
      </w:r>
    </w:p>
    <w:p>
      <w:pPr>
        <w:shd w:val="clear" w:color="auto" w:fill="auto"/>
        <w:spacing w:line="440" w:lineRule="exact"/>
        <w:ind w:firstLine="3840" w:firstLineChars="1600"/>
        <w:jc w:val="left"/>
        <w:outlineLvl w:val="9"/>
        <w:rPr>
          <w:rFonts w:hint="eastAsia" w:ascii="仿宋" w:hAnsi="仿宋" w:eastAsia="仿宋" w:cs="仿宋"/>
          <w:b w:val="0"/>
          <w:bCs w:val="0"/>
          <w:color w:val="auto"/>
          <w:szCs w:val="21"/>
          <w:highlight w:val="none"/>
          <w:lang w:val="en-US" w:eastAsia="zh-CN"/>
        </w:rPr>
      </w:pPr>
    </w:p>
    <w:p>
      <w:pPr>
        <w:shd w:val="clear" w:color="auto" w:fill="auto"/>
        <w:spacing w:line="440" w:lineRule="exact"/>
        <w:ind w:firstLine="4320" w:firstLineChars="18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投诉供应商：（盖章）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法定代表人（或主要负责人）：（签字或盖章）</w:t>
      </w:r>
    </w:p>
    <w:p>
      <w:pPr>
        <w:shd w:val="clear" w:color="auto" w:fill="auto"/>
        <w:spacing w:line="440" w:lineRule="exact"/>
        <w:ind w:firstLine="240" w:firstLineChars="100"/>
        <w:jc w:val="center"/>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年   月    日</w:t>
      </w:r>
    </w:p>
    <w:p>
      <w:pPr>
        <w:pStyle w:val="17"/>
        <w:outlineLvl w:val="9"/>
        <w:rPr>
          <w:rFonts w:hint="eastAsia"/>
          <w:highlight w:val="none"/>
          <w:lang w:val="en-US" w:eastAsia="zh-CN"/>
        </w:rPr>
      </w:pPr>
    </w:p>
    <w:p>
      <w:pPr>
        <w:shd w:val="clear" w:color="auto" w:fill="auto"/>
        <w:spacing w:line="440" w:lineRule="exact"/>
        <w:ind w:firstLine="240" w:firstLineChars="100"/>
        <w:jc w:val="center"/>
        <w:outlineLvl w:val="9"/>
        <w:rPr>
          <w:rFonts w:hint="eastAsia" w:ascii="仿宋" w:hAnsi="仿宋" w:eastAsia="仿宋" w:cs="仿宋"/>
          <w:b/>
          <w:bCs/>
          <w:color w:val="auto"/>
          <w:sz w:val="32"/>
          <w:szCs w:val="32"/>
          <w:highlight w:val="none"/>
        </w:rPr>
      </w:pPr>
      <w:r>
        <w:rPr>
          <w:rFonts w:hint="eastAsia" w:ascii="仿宋" w:hAnsi="仿宋" w:eastAsia="仿宋" w:cs="仿宋"/>
          <w:b w:val="0"/>
          <w:bCs w:val="0"/>
          <w:color w:val="auto"/>
          <w:szCs w:val="21"/>
          <w:highlight w:val="none"/>
          <w:lang w:val="en-US" w:eastAsia="zh-CN"/>
        </w:rPr>
        <w:t xml:space="preserve">                            本投诉书正本叁份，副本   份并附电子文档。</w:t>
      </w:r>
      <w:bookmarkStart w:id="33" w:name="_Toc17515"/>
    </w:p>
    <w:p>
      <w:pPr>
        <w:shd w:val="clear" w:color="auto" w:fill="auto"/>
        <w:ind w:left="7951" w:hanging="5760" w:hangingChars="1800"/>
        <w:jc w:val="center"/>
        <w:outlineLvl w:val="9"/>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33"/>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投诉人应当满足《政府采购法》、《政府采购法实施条例》和《政府采购供应商投诉处理办法》的相关规定。</w:t>
      </w:r>
    </w:p>
    <w:p>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ind w:left="4569" w:leftChars="304" w:hanging="3840" w:hangingChars="1600"/>
        <w:textAlignment w:val="auto"/>
        <w:outlineLvl w:val="9"/>
        <w:rPr>
          <w:rFonts w:hint="eastAsia" w:ascii="仿宋" w:hAnsi="仿宋" w:eastAsia="仿宋" w:cs="仿宋"/>
          <w:b/>
          <w:bCs/>
          <w:color w:val="auto"/>
          <w:sz w:val="24"/>
          <w:szCs w:val="24"/>
          <w:highlight w:val="none"/>
        </w:rPr>
      </w:pPr>
      <w:bookmarkStart w:id="34" w:name="_Toc11499"/>
      <w:r>
        <w:rPr>
          <w:rFonts w:hint="eastAsia" w:ascii="仿宋" w:hAnsi="仿宋" w:eastAsia="仿宋" w:cs="仿宋"/>
          <w:b/>
          <w:bCs/>
          <w:color w:val="auto"/>
          <w:sz w:val="24"/>
          <w:szCs w:val="24"/>
          <w:highlight w:val="none"/>
        </w:rPr>
        <w:t>质疑前置及时间要求</w:t>
      </w:r>
      <w:bookmarkEnd w:id="34"/>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sz w:val="24"/>
          <w:szCs w:val="24"/>
          <w:highlight w:val="none"/>
        </w:rPr>
        <w:t>《中华人民共和国政府采购法》</w:t>
      </w:r>
      <w:r>
        <w:rPr>
          <w:rFonts w:hint="eastAsia" w:ascii="仿宋" w:hAnsi="仿宋" w:eastAsia="仿宋" w:cs="仿宋"/>
          <w:color w:val="auto"/>
          <w:kern w:val="0"/>
          <w:sz w:val="24"/>
          <w:szCs w:val="24"/>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shd w:val="clear" w:color="auto" w:fill="FFFFFF"/>
        </w:rPr>
        <w:t xml:space="preserve"> 第五十二条：供应商认为采购文件、采购过程和中标、</w:t>
      </w:r>
      <w:r>
        <w:rPr>
          <w:rFonts w:hint="eastAsia" w:ascii="仿宋" w:hAnsi="仿宋" w:eastAsia="仿宋" w:cs="仿宋"/>
          <w:color w:val="auto"/>
          <w:kern w:val="0"/>
          <w:sz w:val="24"/>
          <w:szCs w:val="24"/>
          <w:highlight w:val="none"/>
          <w:shd w:val="clear" w:color="auto" w:fill="FFFFFF"/>
          <w:lang w:eastAsia="zh-CN"/>
        </w:rPr>
        <w:t>中标</w:t>
      </w:r>
      <w:r>
        <w:rPr>
          <w:rFonts w:hint="eastAsia" w:ascii="仿宋" w:hAnsi="仿宋" w:eastAsia="仿宋" w:cs="仿宋"/>
          <w:color w:val="auto"/>
          <w:kern w:val="0"/>
          <w:sz w:val="24"/>
          <w:szCs w:val="24"/>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b/>
          <w:bCs/>
          <w:color w:val="auto"/>
          <w:sz w:val="24"/>
          <w:szCs w:val="24"/>
          <w:highlight w:val="none"/>
        </w:rPr>
        <w:t xml:space="preserve">   </w:t>
      </w:r>
      <w:bookmarkStart w:id="35" w:name="_Toc13508"/>
      <w:r>
        <w:rPr>
          <w:rFonts w:hint="eastAsia" w:ascii="仿宋" w:hAnsi="仿宋" w:eastAsia="仿宋" w:cs="仿宋"/>
          <w:b/>
          <w:bCs/>
          <w:color w:val="auto"/>
          <w:sz w:val="24"/>
          <w:szCs w:val="24"/>
          <w:highlight w:val="none"/>
        </w:rPr>
        <w:t>二、书面方式</w:t>
      </w:r>
      <w:bookmarkEnd w:id="35"/>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投诉书应当包括下列主要内容：</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投诉人和被投诉人的名称、地址、电话等；</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具体的投诉事项及事实依据；</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质疑和质疑答复情况及相关证明材料；</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投诉书应当署名。投诉人为自然人，应当由本人</w:t>
      </w:r>
      <w:r>
        <w:rPr>
          <w:rFonts w:hint="eastAsia" w:ascii="仿宋" w:hAnsi="仿宋" w:eastAsia="仿宋" w:cs="仿宋"/>
          <w:color w:val="auto"/>
          <w:sz w:val="24"/>
          <w:szCs w:val="24"/>
          <w:highlight w:val="none"/>
          <w:lang w:eastAsia="zh-CN"/>
        </w:rPr>
        <w:t>签章</w:t>
      </w:r>
      <w:r>
        <w:rPr>
          <w:rFonts w:hint="eastAsia" w:ascii="仿宋" w:hAnsi="仿宋" w:eastAsia="仿宋" w:cs="仿宋"/>
          <w:color w:val="auto"/>
          <w:sz w:val="24"/>
          <w:szCs w:val="24"/>
          <w:highlight w:val="none"/>
        </w:rPr>
        <w:t>；投诉人为法人或者其他组织的，应当由法定代表人或者主要负责人</w:t>
      </w:r>
      <w:r>
        <w:rPr>
          <w:rFonts w:hint="eastAsia" w:ascii="仿宋" w:hAnsi="仿宋" w:eastAsia="仿宋" w:cs="仿宋"/>
          <w:color w:val="auto"/>
          <w:sz w:val="24"/>
          <w:szCs w:val="24"/>
          <w:highlight w:val="none"/>
          <w:lang w:eastAsia="zh-CN"/>
        </w:rPr>
        <w:t>签章</w:t>
      </w:r>
      <w:r>
        <w:rPr>
          <w:rFonts w:hint="eastAsia" w:ascii="仿宋" w:hAnsi="仿宋" w:eastAsia="仿宋" w:cs="仿宋"/>
          <w:color w:val="auto"/>
          <w:sz w:val="24"/>
          <w:szCs w:val="24"/>
          <w:highlight w:val="none"/>
        </w:rPr>
        <w:t>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《政府采购供应商投诉处理办法》第十条：投诉人提起投诉应当符合下列条件：</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投诉人是参与所投诉政府采购活动的供应商；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提起投诉诉前已依法进行质疑；</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投诉书内容符合本办法的规定；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在投诉有效期内提起投诉；</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属于本级财政部门管辖；</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同一投诉事项未经财政部门投诉处理；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r>
        <w:rPr>
          <w:rFonts w:hint="eastAsia" w:ascii="仿宋" w:hAnsi="仿宋" w:eastAsia="仿宋" w:cs="仿宋"/>
          <w:b/>
          <w:bCs/>
          <w:color w:val="auto"/>
          <w:sz w:val="24"/>
          <w:szCs w:val="24"/>
          <w:highlight w:val="none"/>
        </w:rPr>
        <w:t xml:space="preserve">  </w:t>
      </w:r>
      <w:bookmarkStart w:id="36" w:name="_Toc5978"/>
      <w:r>
        <w:rPr>
          <w:rFonts w:hint="eastAsia" w:ascii="仿宋" w:hAnsi="仿宋" w:eastAsia="仿宋" w:cs="仿宋"/>
          <w:b/>
          <w:bCs/>
          <w:color w:val="auto"/>
          <w:sz w:val="24"/>
          <w:szCs w:val="24"/>
          <w:highlight w:val="none"/>
        </w:rPr>
        <w:t>三、虚假、恶意投诉法律责任</w:t>
      </w:r>
      <w:bookmarkEnd w:id="36"/>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shd w:val="clear" w:color="auto" w:fill="auto"/>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递交投诉书地址：</w:t>
      </w:r>
      <w:r>
        <w:rPr>
          <w:rFonts w:hint="eastAsia" w:ascii="仿宋" w:hAnsi="仿宋" w:eastAsia="仿宋" w:cs="仿宋"/>
          <w:color w:val="auto"/>
          <w:sz w:val="24"/>
          <w:szCs w:val="24"/>
          <w:highlight w:val="none"/>
          <w:lang w:val="en-US" w:eastAsia="zh-CN"/>
        </w:rPr>
        <w:t>阿图什市政府采购办</w:t>
      </w:r>
      <w:r>
        <w:rPr>
          <w:rFonts w:hint="eastAsia" w:ascii="仿宋" w:hAnsi="仿宋" w:eastAsia="仿宋" w:cs="仿宋"/>
          <w:color w:val="auto"/>
          <w:sz w:val="24"/>
          <w:szCs w:val="24"/>
          <w:highlight w:val="none"/>
        </w:rPr>
        <w:t>监管办公室</w:t>
      </w:r>
    </w:p>
    <w:p>
      <w:pPr>
        <w:shd w:val="clear" w:color="auto" w:fill="auto"/>
        <w:jc w:val="right"/>
        <w:outlineLvl w:val="9"/>
        <w:rPr>
          <w:rFonts w:hint="eastAsia" w:ascii="仿宋" w:hAnsi="仿宋" w:eastAsia="仿宋" w:cs="仿宋"/>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bookmarkStart w:id="37"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pStyle w:val="22"/>
        <w:ind w:left="0" w:leftChars="0" w:firstLine="0" w:firstLineChars="0"/>
        <w:outlineLvl w:val="9"/>
        <w:rPr>
          <w:rFonts w:hint="eastAsia" w:ascii="仿宋" w:hAnsi="仿宋" w:eastAsia="仿宋" w:cs="仿宋"/>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7"/>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80" w:firstLineChars="200"/>
        <w:textAlignment w:val="auto"/>
        <w:outlineLvl w:val="9"/>
        <w:rPr>
          <w:rFonts w:hint="eastAsia" w:ascii="仿宋" w:hAnsi="仿宋" w:eastAsia="仿宋" w:cs="仿宋"/>
          <w:bCs/>
          <w:color w:val="auto"/>
          <w:sz w:val="24"/>
          <w:szCs w:val="24"/>
          <w:highlight w:val="none"/>
        </w:rPr>
      </w:pPr>
      <w:bookmarkStart w:id="38" w:name="_Toc9061"/>
      <w:r>
        <w:rPr>
          <w:rFonts w:hint="eastAsia" w:ascii="仿宋" w:hAnsi="仿宋" w:eastAsia="仿宋" w:cs="仿宋"/>
          <w:bCs/>
          <w:color w:val="auto"/>
          <w:sz w:val="24"/>
          <w:szCs w:val="24"/>
          <w:highlight w:val="none"/>
        </w:rPr>
        <w:t>一、质疑供应商基本信息</w:t>
      </w:r>
      <w:bookmarkEnd w:id="38"/>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质疑供应商：</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39" w:name="_Toc15938"/>
      <w:r>
        <w:rPr>
          <w:rFonts w:hint="eastAsia" w:ascii="仿宋" w:hAnsi="仿宋" w:eastAsia="仿宋" w:cs="仿宋"/>
          <w:bCs/>
          <w:color w:val="auto"/>
          <w:sz w:val="24"/>
          <w:szCs w:val="24"/>
          <w:highlight w:val="none"/>
        </w:rPr>
        <w:t>二、质疑项目基本情况</w:t>
      </w:r>
      <w:bookmarkEnd w:id="39"/>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质疑项目的名称：</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质疑项目的编号：</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包号：</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采购文件获取日期：</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40" w:name="_Toc18271"/>
      <w:r>
        <w:rPr>
          <w:rFonts w:hint="eastAsia" w:ascii="仿宋" w:hAnsi="仿宋" w:eastAsia="仿宋" w:cs="仿宋"/>
          <w:bCs/>
          <w:color w:val="auto"/>
          <w:sz w:val="24"/>
          <w:szCs w:val="24"/>
          <w:highlight w:val="none"/>
        </w:rPr>
        <w:t>三、质疑事项具体内容</w:t>
      </w:r>
      <w:bookmarkEnd w:id="40"/>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质疑事项1：</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事实依据：</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法律依据：</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41" w:name="_Toc22365"/>
      <w:r>
        <w:rPr>
          <w:rFonts w:hint="eastAsia" w:ascii="仿宋" w:hAnsi="仿宋" w:eastAsia="仿宋" w:cs="仿宋"/>
          <w:bCs/>
          <w:color w:val="auto"/>
          <w:sz w:val="24"/>
          <w:szCs w:val="24"/>
          <w:highlight w:val="none"/>
        </w:rPr>
        <w:t>四、与质疑事项相关的质疑请求</w:t>
      </w:r>
      <w:bookmarkEnd w:id="41"/>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请求：</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签字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盖章</w:t>
      </w:r>
      <w:r>
        <w:rPr>
          <w:rFonts w:hint="eastAsia" w:ascii="仿宋" w:hAnsi="仿宋" w:eastAsia="仿宋" w:cs="仿宋"/>
          <w:color w:val="auto"/>
          <w:sz w:val="24"/>
          <w:szCs w:val="24"/>
          <w:highlight w:val="none"/>
        </w:rPr>
        <w:t xml:space="preserve">)：                   公章：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日期：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b/>
          <w:bCs/>
          <w:color w:val="auto"/>
          <w:sz w:val="24"/>
          <w:szCs w:val="24"/>
          <w:highlight w:val="none"/>
        </w:rPr>
      </w:pPr>
    </w:p>
    <w:p>
      <w:pPr>
        <w:pageBreakBefore/>
        <w:shd w:val="clear" w:color="auto" w:fill="auto"/>
        <w:spacing w:line="440" w:lineRule="exact"/>
        <w:jc w:val="center"/>
        <w:outlineLvl w:val="0"/>
        <w:rPr>
          <w:rFonts w:hint="eastAsia" w:ascii="仿宋" w:hAnsi="仿宋" w:eastAsia="仿宋" w:cs="仿宋"/>
          <w:b/>
          <w:bCs/>
          <w:color w:val="auto"/>
          <w:sz w:val="30"/>
          <w:szCs w:val="30"/>
          <w:highlight w:val="none"/>
        </w:rPr>
      </w:pPr>
      <w:bookmarkStart w:id="42" w:name="_Toc469495731"/>
      <w:bookmarkStart w:id="43" w:name="_Toc6150"/>
      <w:r>
        <w:rPr>
          <w:rFonts w:hint="eastAsia" w:ascii="仿宋" w:hAnsi="仿宋" w:eastAsia="仿宋" w:cs="仿宋"/>
          <w:b/>
          <w:bCs/>
          <w:color w:val="auto"/>
          <w:sz w:val="30"/>
          <w:szCs w:val="30"/>
          <w:highlight w:val="none"/>
        </w:rPr>
        <w:t>第三</w:t>
      </w:r>
      <w:r>
        <w:rPr>
          <w:rFonts w:hint="eastAsia" w:ascii="仿宋" w:hAnsi="仿宋" w:eastAsia="仿宋" w:cs="仿宋"/>
          <w:b/>
          <w:bCs/>
          <w:color w:val="auto"/>
          <w:sz w:val="30"/>
          <w:szCs w:val="30"/>
          <w:highlight w:val="none"/>
          <w:lang w:val="en-US" w:eastAsia="zh-CN"/>
        </w:rPr>
        <w:t>部分</w:t>
      </w:r>
      <w:r>
        <w:rPr>
          <w:rFonts w:hint="eastAsia" w:ascii="仿宋" w:hAnsi="仿宋" w:eastAsia="仿宋" w:cs="仿宋"/>
          <w:b/>
          <w:bCs/>
          <w:color w:val="auto"/>
          <w:sz w:val="30"/>
          <w:szCs w:val="30"/>
          <w:highlight w:val="none"/>
        </w:rPr>
        <w:t xml:space="preserve">  评标办法</w:t>
      </w:r>
      <w:bookmarkEnd w:id="42"/>
      <w:bookmarkEnd w:id="43"/>
    </w:p>
    <w:p>
      <w:pPr>
        <w:shd w:val="clear" w:color="auto" w:fill="auto"/>
        <w:jc w:val="center"/>
        <w:outlineLvl w:val="9"/>
        <w:rPr>
          <w:rFonts w:hint="eastAsia" w:ascii="仿宋" w:hAnsi="仿宋" w:eastAsia="仿宋" w:cs="仿宋"/>
          <w:b/>
          <w:color w:val="auto"/>
          <w:sz w:val="28"/>
          <w:szCs w:val="28"/>
          <w:highlight w:val="none"/>
        </w:rPr>
      </w:pPr>
      <w:bookmarkStart w:id="44" w:name="_Toc362983802"/>
      <w:bookmarkStart w:id="45" w:name="_Toc469495733"/>
      <w:bookmarkStart w:id="46" w:name="_Toc267320058"/>
      <w:bookmarkStart w:id="47"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1、一般规定</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1.2评标必须遵循邀请、公平、公正、诚实信用的原则。</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1.3招标代理机构组织招标、开标、评标工作，全过程接受政府采购有关部门的监督、管理和指导。</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1.4评标按照招标文件规定的内容进行，采取符合招标文件要求的最低评标价法；</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2、评标组织机构的组成</w:t>
      </w:r>
    </w:p>
    <w:p>
      <w:pPr>
        <w:widowControl/>
        <w:shd w:val="clear" w:color="auto" w:fill="auto"/>
        <w:spacing w:line="440" w:lineRule="exact"/>
        <w:ind w:firstLine="480"/>
        <w:outlineLvl w:val="9"/>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 w:val="24"/>
          <w:szCs w:val="24"/>
          <w:highlight w:val="none"/>
          <w:lang w:bidi="ar-SA"/>
        </w:rPr>
        <w:t>评标委员会由采购人代表和有关技术、经济等方面的专家组成，成员人数应当为5人</w:t>
      </w:r>
      <w:r>
        <w:rPr>
          <w:rFonts w:hint="eastAsia" w:ascii="仿宋" w:hAnsi="仿宋" w:eastAsia="仿宋" w:cs="仿宋"/>
          <w:color w:val="auto"/>
          <w:kern w:val="0"/>
          <w:sz w:val="24"/>
          <w:szCs w:val="24"/>
          <w:highlight w:val="none"/>
          <w:lang w:eastAsia="zh-CN" w:bidi="ar-SA"/>
        </w:rPr>
        <w:t>或</w:t>
      </w:r>
      <w:r>
        <w:rPr>
          <w:rFonts w:hint="eastAsia" w:ascii="仿宋" w:hAnsi="仿宋" w:eastAsia="仿宋" w:cs="仿宋"/>
          <w:color w:val="auto"/>
          <w:kern w:val="0"/>
          <w:sz w:val="24"/>
          <w:szCs w:val="24"/>
          <w:highlight w:val="none"/>
          <w:lang w:val="en-US" w:eastAsia="zh-CN" w:bidi="ar-SA"/>
        </w:rPr>
        <w:t>5人</w:t>
      </w:r>
      <w:r>
        <w:rPr>
          <w:rFonts w:hint="eastAsia" w:ascii="仿宋" w:hAnsi="仿宋" w:eastAsia="仿宋" w:cs="仿宋"/>
          <w:color w:val="auto"/>
          <w:kern w:val="0"/>
          <w:sz w:val="24"/>
          <w:szCs w:val="24"/>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3、评标委员会职责</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3.1审查投标文件是否符合招标文件要求，并作出评价；</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3.2要求投标人对投标文件有关事项作出解释或者澄清；</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3.3推荐中标候选人名单；</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3.4向招标人、招标代理机构或者有关部门报告非法干预评标工作的行为。</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4、评标委员会义务</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4.1遵纪守法，客观、公正、廉洁地履行职责；</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4.3对评标过程和结果，以及投标人的商业秘密保密；</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4.4参与评标报告的起草；</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4.5配合有关部门的投诉处理工作；</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4.6配合招标人、招标代理机构答复投标供应商提出的质疑。</w:t>
      </w:r>
    </w:p>
    <w:p>
      <w:pPr>
        <w:keepNext w:val="0"/>
        <w:keepLines w:val="0"/>
        <w:pageBreakBefore w:val="0"/>
        <w:shd w:val="clear" w:color="auto" w:fill="auto"/>
        <w:tabs>
          <w:tab w:val="left" w:pos="1547"/>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lang w:bidi="ar-SA"/>
        </w:rPr>
      </w:pPr>
      <w:r>
        <w:rPr>
          <w:rFonts w:hint="eastAsia" w:ascii="仿宋" w:hAnsi="仿宋" w:eastAsia="仿宋" w:cs="仿宋"/>
          <w:color w:val="auto"/>
          <w:sz w:val="24"/>
          <w:szCs w:val="24"/>
          <w:highlight w:val="none"/>
          <w:lang w:bidi="ar-SA"/>
        </w:rPr>
        <w:t>5、 评标程序</w:t>
      </w:r>
    </w:p>
    <w:p>
      <w:pPr>
        <w:pStyle w:val="19"/>
        <w:keepNext w:val="0"/>
        <w:keepLines w:val="0"/>
        <w:pageBreakBefore w:val="0"/>
        <w:shd w:val="clear" w:color="auto" w:fill="auto"/>
        <w:tabs>
          <w:tab w:val="left" w:pos="720"/>
          <w:tab w:val="clear" w:pos="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bCs/>
          <w:color w:val="auto"/>
          <w:sz w:val="24"/>
          <w:szCs w:val="24"/>
          <w:highlight w:val="none"/>
          <w:lang w:bidi="ar-SA"/>
        </w:rPr>
      </w:pPr>
      <w:r>
        <w:rPr>
          <w:rFonts w:hint="eastAsia" w:ascii="仿宋" w:hAnsi="仿宋" w:eastAsia="仿宋" w:cs="仿宋"/>
          <w:bCs/>
          <w:color w:val="auto"/>
          <w:sz w:val="24"/>
          <w:szCs w:val="24"/>
          <w:highlight w:val="none"/>
          <w:lang w:bidi="ar-SA"/>
        </w:rPr>
        <w:t>5.1本次评标首先由评标委员会对投标人的投标文件进行初审，对未能通过初审的投标文件作无效标处理；</w:t>
      </w:r>
    </w:p>
    <w:p>
      <w:pPr>
        <w:keepNext w:val="0"/>
        <w:keepLines w:val="0"/>
        <w:pageBreakBefore w:val="0"/>
        <w:shd w:val="clear" w:color="auto" w:fill="auto"/>
        <w:tabs>
          <w:tab w:val="left" w:pos="72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lang w:bidi="ar-SA"/>
        </w:rPr>
      </w:pPr>
      <w:r>
        <w:rPr>
          <w:rFonts w:hint="eastAsia" w:ascii="仿宋" w:hAnsi="仿宋" w:eastAsia="仿宋" w:cs="仿宋"/>
          <w:color w:val="auto"/>
          <w:sz w:val="24"/>
          <w:szCs w:val="24"/>
          <w:highlight w:val="none"/>
          <w:lang w:bidi="ar-SA"/>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bCs/>
          <w:color w:val="auto"/>
          <w:kern w:val="0"/>
          <w:sz w:val="24"/>
          <w:szCs w:val="24"/>
          <w:highlight w:val="none"/>
          <w:lang w:bidi="ar-SA"/>
        </w:rPr>
      </w:pPr>
      <w:r>
        <w:rPr>
          <w:rFonts w:hint="eastAsia" w:ascii="仿宋" w:hAnsi="仿宋" w:eastAsia="仿宋" w:cs="仿宋"/>
          <w:color w:val="auto"/>
          <w:sz w:val="24"/>
          <w:szCs w:val="24"/>
          <w:highlight w:val="none"/>
          <w:lang w:bidi="ar-SA"/>
        </w:rPr>
        <w:t>5.3依据评分标准以及各项权值，各位评委单独就每个投标人的</w:t>
      </w:r>
      <w:r>
        <w:rPr>
          <w:rFonts w:hint="eastAsia" w:ascii="仿宋" w:hAnsi="仿宋" w:eastAsia="仿宋" w:cs="仿宋"/>
          <w:color w:val="auto"/>
          <w:kern w:val="0"/>
          <w:sz w:val="24"/>
          <w:szCs w:val="24"/>
          <w:highlight w:val="none"/>
          <w:lang w:bidi="ar-SA"/>
        </w:rPr>
        <w:t>投标文件进行价格、技术、</w:t>
      </w:r>
      <w:r>
        <w:rPr>
          <w:rFonts w:hint="eastAsia" w:ascii="仿宋" w:hAnsi="仿宋" w:eastAsia="仿宋" w:cs="仿宋"/>
          <w:color w:val="auto"/>
          <w:kern w:val="0"/>
          <w:sz w:val="24"/>
          <w:szCs w:val="24"/>
          <w:highlight w:val="none"/>
          <w:lang w:bidi="ar-SA"/>
        </w:rPr>
        <w:fldChar w:fldCharType="begin"/>
      </w:r>
      <w:r>
        <w:rPr>
          <w:rFonts w:hint="eastAsia" w:ascii="仿宋" w:hAnsi="仿宋" w:eastAsia="仿宋" w:cs="仿宋"/>
          <w:color w:val="auto"/>
          <w:kern w:val="0"/>
          <w:sz w:val="24"/>
          <w:szCs w:val="24"/>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 w:val="24"/>
          <w:szCs w:val="24"/>
          <w:highlight w:val="none"/>
          <w:lang w:bidi="ar-SA"/>
        </w:rPr>
        <w:fldChar w:fldCharType="separate"/>
      </w:r>
      <w:r>
        <w:rPr>
          <w:rFonts w:hint="eastAsia" w:ascii="仿宋" w:hAnsi="仿宋" w:eastAsia="仿宋" w:cs="仿宋"/>
          <w:color w:val="auto"/>
          <w:kern w:val="0"/>
          <w:sz w:val="24"/>
          <w:szCs w:val="24"/>
          <w:highlight w:val="none"/>
          <w:lang w:bidi="ar-SA"/>
        </w:rPr>
        <w:t>财务状况</w:t>
      </w:r>
      <w:r>
        <w:rPr>
          <w:rFonts w:hint="eastAsia" w:ascii="仿宋" w:hAnsi="仿宋" w:eastAsia="仿宋" w:cs="仿宋"/>
          <w:color w:val="auto"/>
          <w:kern w:val="0"/>
          <w:sz w:val="24"/>
          <w:szCs w:val="24"/>
          <w:highlight w:val="none"/>
          <w:lang w:bidi="ar-SA"/>
        </w:rPr>
        <w:fldChar w:fldCharType="end"/>
      </w:r>
      <w:r>
        <w:rPr>
          <w:rFonts w:hint="eastAsia" w:ascii="仿宋" w:hAnsi="仿宋" w:eastAsia="仿宋" w:cs="仿宋"/>
          <w:color w:val="auto"/>
          <w:kern w:val="0"/>
          <w:sz w:val="24"/>
          <w:szCs w:val="24"/>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  投标文件初审</w:t>
      </w:r>
      <w:bookmarkEnd w:id="44"/>
      <w:bookmarkEnd w:id="45"/>
    </w:p>
    <w:p>
      <w:pPr>
        <w:shd w:val="clear" w:color="auto" w:fill="auto"/>
        <w:spacing w:line="400" w:lineRule="exact"/>
        <w:ind w:firstLine="352" w:firstLineChars="147"/>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.资格性审查:</w:t>
      </w:r>
    </w:p>
    <w:p>
      <w:pPr>
        <w:shd w:val="clear" w:color="auto" w:fill="auto"/>
        <w:spacing w:line="400" w:lineRule="exact"/>
        <w:ind w:firstLine="352" w:firstLineChars="14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.1评审细则</w:t>
      </w:r>
    </w:p>
    <w:tbl>
      <w:tblPr>
        <w:tblStyle w:val="23"/>
        <w:tblW w:w="9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89"/>
        <w:gridCol w:w="6940"/>
        <w:gridCol w:w="585"/>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83" w:type="dxa"/>
            <w:vMerge w:val="restart"/>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7729" w:type="dxa"/>
            <w:gridSpan w:val="2"/>
            <w:vMerge w:val="restart"/>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评审内容</w:t>
            </w:r>
          </w:p>
        </w:tc>
        <w:tc>
          <w:tcPr>
            <w:tcW w:w="1286" w:type="dxa"/>
            <w:gridSpan w:val="2"/>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729" w:type="dxa"/>
            <w:gridSpan w:val="2"/>
            <w:vMerge w:val="continue"/>
            <w:noWrap w:val="0"/>
            <w:vAlign w:val="top"/>
          </w:tcPr>
          <w:p>
            <w:pPr>
              <w:shd w:val="clear" w:color="auto" w:fill="auto"/>
              <w:outlineLvl w:val="9"/>
              <w:rPr>
                <w:rFonts w:hint="eastAsia" w:ascii="仿宋" w:hAnsi="仿宋" w:eastAsia="仿宋" w:cs="仿宋"/>
                <w:color w:val="auto"/>
                <w:sz w:val="24"/>
                <w:szCs w:val="24"/>
                <w:highlight w:val="none"/>
              </w:rPr>
            </w:pPr>
          </w:p>
        </w:tc>
        <w:tc>
          <w:tcPr>
            <w:tcW w:w="585"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是</w:t>
            </w:r>
          </w:p>
        </w:tc>
        <w:tc>
          <w:tcPr>
            <w:tcW w:w="701"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83" w:type="dxa"/>
            <w:vMerge w:val="continue"/>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（三证合一）营业执照</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法定代表人投标需提供法定代表人资格证明书，委托代理人投标需提供法定代表人授权委托书；</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eastAsia="zh-CN" w:bidi="ar"/>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eastAsia="zh-CN" w:bidi="ar"/>
              </w:rPr>
              <w:t>投标</w:t>
            </w:r>
            <w:r>
              <w:rPr>
                <w:rFonts w:hint="eastAsia" w:ascii="仿宋" w:hAnsi="仿宋" w:eastAsia="仿宋" w:cs="仿宋"/>
                <w:color w:val="auto"/>
                <w:kern w:val="0"/>
                <w:sz w:val="24"/>
                <w:szCs w:val="24"/>
                <w:highlight w:val="none"/>
                <w:lang w:bidi="ar"/>
              </w:rPr>
              <w:t>保证金收据</w:t>
            </w:r>
            <w:r>
              <w:rPr>
                <w:rFonts w:hint="eastAsia" w:ascii="仿宋" w:hAnsi="仿宋" w:eastAsia="仿宋" w:cs="仿宋"/>
                <w:color w:val="auto"/>
                <w:kern w:val="0"/>
                <w:sz w:val="24"/>
                <w:szCs w:val="24"/>
                <w:highlight w:val="none"/>
                <w:lang w:eastAsia="zh-CN" w:bidi="ar"/>
              </w:rPr>
              <w:t>或保函等票据</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eastAsia="zh-CN" w:bidi="ar"/>
              </w:rPr>
            </w:pPr>
            <w:r>
              <w:rPr>
                <w:rFonts w:hint="eastAsia" w:ascii="仿宋" w:hAnsi="仿宋" w:eastAsia="仿宋" w:cs="仿宋"/>
                <w:b w:val="0"/>
                <w:bCs w:val="0"/>
                <w:i w:val="0"/>
                <w:iCs w:val="0"/>
                <w:caps w:val="0"/>
                <w:color w:val="000000"/>
                <w:spacing w:val="0"/>
                <w:sz w:val="24"/>
                <w:szCs w:val="24"/>
                <w:highlight w:val="none"/>
                <w:lang w:eastAsia="zh-CN"/>
              </w:rPr>
              <w:t>投标企业须提供投标人（被授权在职人员）近期社保证明</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83" w:type="dxa"/>
            <w:vMerge w:val="continue"/>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789" w:type="dxa"/>
            <w:noWrap w:val="0"/>
            <w:vAlign w:val="top"/>
          </w:tcPr>
          <w:p>
            <w:pPr>
              <w:shd w:val="clear" w:color="auto" w:fill="auto"/>
              <w:spacing w:line="440" w:lineRule="exact"/>
              <w:outlineLvl w:val="9"/>
              <w:rPr>
                <w:rFonts w:hint="eastAsia" w:ascii="仿宋" w:hAnsi="仿宋" w:eastAsia="仿宋" w:cs="仿宋"/>
                <w:color w:val="auto"/>
                <w:sz w:val="24"/>
                <w:szCs w:val="24"/>
                <w:highlight w:val="none"/>
              </w:rPr>
            </w:pPr>
          </w:p>
        </w:tc>
        <w:tc>
          <w:tcPr>
            <w:tcW w:w="6940" w:type="dxa"/>
            <w:noWrap w:val="0"/>
            <w:vAlign w:val="top"/>
          </w:tcPr>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结论：是否通过评审（须填写通过或不通过）</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注：如有一项不合格，作废标处理。</w:t>
            </w:r>
          </w:p>
        </w:tc>
        <w:tc>
          <w:tcPr>
            <w:tcW w:w="1286" w:type="dxa"/>
            <w:gridSpan w:val="2"/>
            <w:noWrap w:val="0"/>
            <w:vAlign w:val="top"/>
          </w:tcPr>
          <w:p>
            <w:pPr>
              <w:shd w:val="clear" w:color="auto" w:fill="auto"/>
              <w:outlineLvl w:val="9"/>
              <w:rPr>
                <w:rFonts w:hint="eastAsia" w:ascii="仿宋" w:hAnsi="仿宋" w:eastAsia="仿宋" w:cs="仿宋"/>
                <w:color w:val="auto"/>
                <w:sz w:val="24"/>
                <w:szCs w:val="24"/>
                <w:highlight w:val="none"/>
              </w:rPr>
            </w:pPr>
          </w:p>
        </w:tc>
      </w:tr>
    </w:tbl>
    <w:p>
      <w:pPr>
        <w:shd w:val="clear" w:color="auto" w:fill="auto"/>
        <w:spacing w:line="400" w:lineRule="exact"/>
        <w:ind w:firstLine="578" w:firstLineChars="241"/>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240" w:firstLineChars="1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7</w:t>
      </w:r>
      <w:r>
        <w:rPr>
          <w:rFonts w:hint="eastAsia" w:ascii="仿宋" w:hAnsi="仿宋" w:eastAsia="仿宋" w:cs="仿宋"/>
          <w:b/>
          <w:color w:val="auto"/>
          <w:sz w:val="24"/>
          <w:szCs w:val="24"/>
          <w:highlight w:val="none"/>
        </w:rPr>
        <w:t>.符合性审查</w:t>
      </w:r>
    </w:p>
    <w:p>
      <w:pPr>
        <w:shd w:val="clear" w:color="auto" w:fill="auto"/>
        <w:spacing w:line="440" w:lineRule="exact"/>
        <w:ind w:firstLine="360" w:firstLineChars="1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．1评审细则</w:t>
      </w:r>
    </w:p>
    <w:tbl>
      <w:tblPr>
        <w:tblStyle w:val="23"/>
        <w:tblpPr w:leftFromText="180" w:rightFromText="180" w:vertAnchor="text" w:horzAnchor="page" w:tblpX="1293" w:tblpY="544"/>
        <w:tblW w:w="94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7"/>
        <w:gridCol w:w="561"/>
        <w:gridCol w:w="6271"/>
        <w:gridCol w:w="482"/>
        <w:gridCol w:w="8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3" w:hRule="atLeast"/>
        </w:trPr>
        <w:tc>
          <w:tcPr>
            <w:tcW w:w="1237" w:type="dxa"/>
            <w:tcBorders>
              <w:top w:val="single" w:color="auto" w:sz="4" w:space="0"/>
              <w:lef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6832" w:type="dxa"/>
            <w:gridSpan w:val="2"/>
            <w:tcBorders>
              <w:top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评审内容</w:t>
            </w:r>
          </w:p>
        </w:tc>
        <w:tc>
          <w:tcPr>
            <w:tcW w:w="1366" w:type="dxa"/>
            <w:gridSpan w:val="2"/>
            <w:tcBorders>
              <w:top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5" w:hRule="atLeast"/>
        </w:trPr>
        <w:tc>
          <w:tcPr>
            <w:tcW w:w="1237" w:type="dxa"/>
            <w:tcBorders>
              <w:left w:val="single" w:color="auto" w:sz="4" w:space="0"/>
              <w:bottom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6832" w:type="dxa"/>
            <w:gridSpan w:val="2"/>
            <w:tcBorders>
              <w:bottom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482"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是</w:t>
            </w:r>
          </w:p>
        </w:tc>
        <w:tc>
          <w:tcPr>
            <w:tcW w:w="884" w:type="dxa"/>
            <w:tcBorders>
              <w:righ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 w:hRule="atLeast"/>
        </w:trPr>
        <w:tc>
          <w:tcPr>
            <w:tcW w:w="1237" w:type="dxa"/>
            <w:vMerge w:val="restart"/>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审</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查</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准</w:t>
            </w:r>
          </w:p>
        </w:tc>
        <w:tc>
          <w:tcPr>
            <w:tcW w:w="561" w:type="dxa"/>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271"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bidi="ar"/>
              </w:rPr>
              <w:t xml:space="preserve">由政府立项核准、审批的采购项目, </w:t>
            </w:r>
            <w:r>
              <w:rPr>
                <w:rFonts w:hint="eastAsia" w:ascii="仿宋" w:hAnsi="仿宋" w:eastAsia="仿宋" w:cs="仿宋"/>
                <w:color w:val="auto"/>
                <w:kern w:val="0"/>
                <w:sz w:val="24"/>
                <w:szCs w:val="24"/>
                <w:highlight w:val="none"/>
                <w:lang w:val="en-US" w:eastAsia="zh-CN" w:bidi="ar"/>
              </w:rPr>
              <w:t>投标</w:t>
            </w:r>
            <w:r>
              <w:rPr>
                <w:rFonts w:hint="eastAsia" w:ascii="仿宋" w:hAnsi="仿宋" w:eastAsia="仿宋" w:cs="仿宋"/>
                <w:color w:val="auto"/>
                <w:kern w:val="0"/>
                <w:sz w:val="24"/>
                <w:szCs w:val="24"/>
                <w:highlight w:val="none"/>
                <w:lang w:bidi="ar"/>
              </w:rPr>
              <w:t>报价</w:t>
            </w:r>
            <w:r>
              <w:rPr>
                <w:rFonts w:hint="eastAsia" w:ascii="仿宋" w:hAnsi="仿宋" w:eastAsia="仿宋" w:cs="仿宋"/>
                <w:color w:val="auto"/>
                <w:kern w:val="0"/>
                <w:sz w:val="24"/>
                <w:szCs w:val="24"/>
                <w:highlight w:val="none"/>
                <w:lang w:val="en-US" w:eastAsia="zh-CN" w:bidi="ar"/>
              </w:rPr>
              <w:t>低于</w:t>
            </w:r>
            <w:r>
              <w:rPr>
                <w:rFonts w:hint="eastAsia" w:ascii="仿宋" w:hAnsi="仿宋" w:eastAsia="仿宋" w:cs="仿宋"/>
                <w:color w:val="auto"/>
                <w:kern w:val="0"/>
                <w:sz w:val="24"/>
                <w:szCs w:val="24"/>
                <w:highlight w:val="none"/>
                <w:lang w:bidi="ar"/>
              </w:rPr>
              <w:t>设定的采购预算价的</w:t>
            </w:r>
            <w:r>
              <w:rPr>
                <w:rFonts w:hint="eastAsia" w:ascii="仿宋" w:hAnsi="仿宋" w:eastAsia="仿宋" w:cs="仿宋"/>
                <w:color w:val="auto"/>
                <w:kern w:val="0"/>
                <w:sz w:val="24"/>
                <w:szCs w:val="24"/>
                <w:highlight w:val="none"/>
                <w:lang w:eastAsia="zh-CN" w:bidi="ar"/>
              </w:rPr>
              <w:t>。</w:t>
            </w:r>
          </w:p>
        </w:tc>
        <w:tc>
          <w:tcPr>
            <w:tcW w:w="482" w:type="dxa"/>
            <w:tcBorders>
              <w:left w:val="single" w:color="auto" w:sz="4" w:space="0"/>
              <w:right w:val="single" w:color="auto" w:sz="4" w:space="0"/>
            </w:tcBorders>
            <w:noWrap w:val="0"/>
            <w:vAlign w:val="top"/>
          </w:tcPr>
          <w:p>
            <w:pPr>
              <w:shd w:val="clear" w:color="auto" w:fill="auto"/>
              <w:jc w:val="center"/>
              <w:outlineLvl w:val="9"/>
              <w:rPr>
                <w:rFonts w:hint="eastAsia" w:ascii="仿宋" w:hAnsi="仿宋" w:eastAsia="仿宋" w:cs="仿宋"/>
                <w:b/>
                <w:color w:val="auto"/>
                <w:sz w:val="24"/>
                <w:szCs w:val="24"/>
                <w:highlight w:val="none"/>
              </w:rPr>
            </w:pPr>
          </w:p>
        </w:tc>
        <w:tc>
          <w:tcPr>
            <w:tcW w:w="884" w:type="dxa"/>
            <w:tcBorders>
              <w:left w:val="single" w:color="auto" w:sz="4" w:space="0"/>
              <w:right w:val="single" w:color="auto" w:sz="4" w:space="0"/>
            </w:tcBorders>
            <w:noWrap w:val="0"/>
            <w:vAlign w:val="top"/>
          </w:tcPr>
          <w:p>
            <w:pPr>
              <w:shd w:val="clear" w:color="auto" w:fill="auto"/>
              <w:jc w:val="center"/>
              <w:outlineLvl w:val="9"/>
              <w:rPr>
                <w:rFonts w:hint="eastAsia" w:ascii="仿宋" w:hAnsi="仿宋" w:eastAsia="仿宋" w:cs="仿宋"/>
                <w:b/>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271"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法定代表人身份证明及授权委托书有效，且符合招标文件规定的格式。</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8"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271"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只有一个方案投标。</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p>
        </w:tc>
        <w:tc>
          <w:tcPr>
            <w:tcW w:w="6271" w:type="dxa"/>
            <w:tcBorders>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投标文件内容齐全、无遗漏。</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bottom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6271" w:type="dxa"/>
            <w:tcBorders>
              <w:bottom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kern w:val="0"/>
                <w:sz w:val="24"/>
                <w:szCs w:val="24"/>
                <w:highlight w:val="none"/>
                <w:lang w:bidi="ar"/>
              </w:rPr>
              <w:t>完成期限满足招标文件要求。</w:t>
            </w:r>
          </w:p>
        </w:tc>
        <w:tc>
          <w:tcPr>
            <w:tcW w:w="482" w:type="dxa"/>
            <w:tcBorders>
              <w:left w:val="single" w:color="auto" w:sz="4" w:space="0"/>
              <w:bottom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6271"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spacing w:val="0"/>
                <w:w w:val="100"/>
                <w:position w:val="0"/>
                <w:sz w:val="24"/>
                <w:szCs w:val="24"/>
                <w:highlight w:val="none"/>
                <w:shd w:val="clear" w:color="auto" w:fill="auto"/>
                <w:lang w:val="en-US" w:eastAsia="en-US" w:bidi="en-US"/>
              </w:rPr>
              <w:t>投标文件载明的验收标准和方法等符合招标文件的要求；</w:t>
            </w:r>
          </w:p>
        </w:tc>
        <w:tc>
          <w:tcPr>
            <w:tcW w:w="482" w:type="dxa"/>
            <w:tcBorders>
              <w:top w:val="single" w:color="auto" w:sz="4" w:space="0"/>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6271" w:type="dxa"/>
            <w:tcBorders>
              <w:top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kern w:val="0"/>
                <w:sz w:val="24"/>
                <w:szCs w:val="24"/>
                <w:highlight w:val="none"/>
                <w:lang w:bidi="ar"/>
              </w:rPr>
              <w:t>投标有效期满足招标文件要求。</w:t>
            </w:r>
          </w:p>
        </w:tc>
        <w:tc>
          <w:tcPr>
            <w:tcW w:w="482" w:type="dxa"/>
            <w:tcBorders>
              <w:top w:val="single" w:color="auto" w:sz="4" w:space="0"/>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top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4"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6271" w:type="dxa"/>
            <w:tcBorders>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b w:val="0"/>
                <w:bCs w:val="0"/>
                <w:color w:val="auto"/>
                <w:kern w:val="0"/>
                <w:sz w:val="24"/>
                <w:szCs w:val="24"/>
                <w:highlight w:val="none"/>
                <w:lang w:bidi="ar"/>
              </w:rPr>
              <w:t>投标人详细地址、联系人、电话</w:t>
            </w:r>
            <w:r>
              <w:rPr>
                <w:rFonts w:hint="eastAsia" w:ascii="仿宋" w:hAnsi="仿宋" w:eastAsia="仿宋" w:cs="仿宋"/>
                <w:b w:val="0"/>
                <w:bCs w:val="0"/>
                <w:color w:val="auto"/>
                <w:kern w:val="0"/>
                <w:sz w:val="24"/>
                <w:szCs w:val="24"/>
                <w:highlight w:val="none"/>
                <w:lang w:eastAsia="zh-CN" w:bidi="ar"/>
              </w:rPr>
              <w:t>。</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6271" w:type="dxa"/>
            <w:tcBorders>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zh-CN" w:bidi="en-US"/>
              </w:rPr>
            </w:pPr>
            <w:r>
              <w:rPr>
                <w:rFonts w:hint="eastAsia" w:ascii="仿宋" w:hAnsi="仿宋" w:eastAsia="仿宋" w:cs="仿宋"/>
                <w:b w:val="0"/>
                <w:bCs w:val="0"/>
                <w:color w:val="auto"/>
                <w:kern w:val="0"/>
                <w:sz w:val="24"/>
                <w:szCs w:val="24"/>
                <w:highlight w:val="none"/>
                <w:lang w:eastAsia="zh-CN" w:bidi="ar"/>
              </w:rPr>
              <w:t>投标文件</w:t>
            </w:r>
            <w:r>
              <w:rPr>
                <w:rFonts w:hint="eastAsia" w:ascii="仿宋" w:hAnsi="仿宋" w:eastAsia="仿宋" w:cs="仿宋"/>
                <w:b w:val="0"/>
                <w:bCs w:val="0"/>
                <w:color w:val="auto"/>
                <w:kern w:val="0"/>
                <w:sz w:val="24"/>
                <w:szCs w:val="24"/>
                <w:highlight w:val="none"/>
                <w:lang w:bidi="ar"/>
              </w:rPr>
              <w:t>按照规定在应由企业法人或法人授权代表在所有规定签章处逐一签署及加盖单位公章的；</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5"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271" w:type="dxa"/>
            <w:tcBorders>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不符合法律、法规和招标文件中规定的其他实质性要求。</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rPr>
        <w:tc>
          <w:tcPr>
            <w:tcW w:w="1237" w:type="dxa"/>
            <w:tcBorders>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6832" w:type="dxa"/>
            <w:gridSpan w:val="2"/>
            <w:tcBorders>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结论：是否通过评审（须填写通过或不通过）</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注：如有一项不合格，作废标处理。</w:t>
            </w:r>
          </w:p>
        </w:tc>
        <w:tc>
          <w:tcPr>
            <w:tcW w:w="1366" w:type="dxa"/>
            <w:gridSpan w:val="2"/>
            <w:tcBorders>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bl>
    <w:p>
      <w:pPr>
        <w:shd w:val="clear" w:color="auto" w:fill="auto"/>
        <w:bidi w:val="0"/>
        <w:outlineLvl w:val="9"/>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578" w:firstLineChars="241"/>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578" w:firstLineChars="241"/>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80" w:firstLineChars="200"/>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00" w:firstLineChars="250"/>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80" w:firstLineChars="200"/>
        <w:textAlignment w:val="auto"/>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50" w:line="360" w:lineRule="exact"/>
        <w:jc w:val="center"/>
        <w:textAlignment w:val="auto"/>
        <w:outlineLvl w:val="9"/>
        <w:rPr>
          <w:rFonts w:hint="eastAsia" w:ascii="仿宋" w:hAnsi="仿宋" w:eastAsia="仿宋" w:cs="仿宋"/>
          <w:b/>
          <w:color w:val="auto"/>
          <w:sz w:val="24"/>
          <w:highlight w:val="none"/>
        </w:rPr>
      </w:pPr>
      <w:bookmarkStart w:id="48" w:name="_Toc469495734"/>
      <w:bookmarkStart w:id="49" w:name="_Toc362983803"/>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8"/>
      <w:bookmarkEnd w:id="49"/>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22" w:firstLineChars="192"/>
        <w:textAlignment w:val="auto"/>
        <w:outlineLvl w:val="9"/>
        <w:rPr>
          <w:rFonts w:hint="eastAsia" w:ascii="仿宋" w:hAnsi="仿宋" w:eastAsia="仿宋" w:cs="仿宋"/>
          <w:color w:val="auto"/>
          <w:sz w:val="22"/>
          <w:szCs w:val="20"/>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exact"/>
        <w:jc w:val="center"/>
        <w:textAlignment w:val="auto"/>
        <w:outlineLvl w:val="9"/>
        <w:rPr>
          <w:rFonts w:hint="eastAsia" w:ascii="仿宋" w:hAnsi="仿宋" w:eastAsia="仿宋" w:cs="仿宋"/>
          <w:b/>
          <w:color w:val="auto"/>
          <w:sz w:val="24"/>
          <w:szCs w:val="24"/>
          <w:highlight w:val="none"/>
        </w:rPr>
      </w:pPr>
      <w:bookmarkStart w:id="50" w:name="_Toc469495735"/>
      <w:r>
        <w:rPr>
          <w:rFonts w:hint="eastAsia" w:ascii="仿宋" w:hAnsi="仿宋" w:eastAsia="仿宋" w:cs="仿宋"/>
          <w:b/>
          <w:color w:val="auto"/>
          <w:sz w:val="24"/>
          <w:szCs w:val="24"/>
          <w:highlight w:val="none"/>
        </w:rPr>
        <w:t>四 比较与评价</w:t>
      </w:r>
      <w:bookmarkEnd w:id="50"/>
    </w:p>
    <w:p>
      <w:pPr>
        <w:keepNext w:val="0"/>
        <w:keepLines w:val="0"/>
        <w:pageBreakBefore w:val="0"/>
        <w:widowControl w:val="0"/>
        <w:shd w:val="clear" w:color="auto" w:fill="auto"/>
        <w:tabs>
          <w:tab w:val="left" w:pos="72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Cs w:val="21"/>
          <w:highlight w:val="none"/>
          <w:lang w:bidi="ar-SA"/>
        </w:rPr>
      </w:pPr>
      <w:bookmarkStart w:id="51" w:name="_Toc362983805"/>
      <w:bookmarkStart w:id="52" w:name="_Toc469495736"/>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ind w:firstLine="480" w:firstLineChars="200"/>
        <w:jc w:val="left"/>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（8）评分标准和细则（综合评分法评分标准）</w:t>
      </w:r>
    </w:p>
    <w:p>
      <w:pPr>
        <w:numPr>
          <w:ilvl w:val="0"/>
          <w:numId w:val="0"/>
        </w:numPr>
        <w:spacing w:line="440" w:lineRule="exact"/>
        <w:jc w:val="center"/>
        <w:outlineLvl w:val="9"/>
        <w:rPr>
          <w:rFonts w:hint="eastAsia" w:ascii="宋体" w:hAnsi="宋体" w:cs="宋体"/>
          <w:b/>
          <w:sz w:val="28"/>
          <w:szCs w:val="28"/>
          <w:highlight w:val="none"/>
        </w:rPr>
      </w:pPr>
      <w:bookmarkStart w:id="53" w:name="_Toc31252"/>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1-4包</w:t>
      </w:r>
      <w:r>
        <w:rPr>
          <w:rFonts w:hint="eastAsia" w:ascii="宋体" w:hAnsi="宋体" w:eastAsia="宋体" w:cs="宋体"/>
          <w:b/>
          <w:sz w:val="28"/>
          <w:szCs w:val="28"/>
          <w:highlight w:val="none"/>
          <w:lang w:eastAsia="zh-CN"/>
        </w:rPr>
        <w:t>）</w:t>
      </w:r>
      <w:r>
        <w:rPr>
          <w:rFonts w:hint="eastAsia" w:ascii="宋体" w:hAnsi="宋体" w:cs="宋体"/>
          <w:b/>
          <w:sz w:val="28"/>
          <w:szCs w:val="28"/>
          <w:highlight w:val="none"/>
        </w:rPr>
        <w:t>评分标准和细则</w:t>
      </w:r>
      <w:bookmarkEnd w:id="53"/>
    </w:p>
    <w:tbl>
      <w:tblPr>
        <w:tblStyle w:val="23"/>
        <w:tblpPr w:leftFromText="180" w:rightFromText="180" w:vertAnchor="text" w:horzAnchor="page" w:tblpX="1557" w:tblpY="93"/>
        <w:tblOverlap w:val="never"/>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637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评分因素</w:t>
            </w:r>
          </w:p>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及权重</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评分标准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投标报价</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30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各供应商的价格得分的计算公式：采用低价优先法计算，即满足招标文件要求且投标价格最低的投标报价为评标基准价，其价格分为满分。其他投标人的价格分统一按照下列公式计算：</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投标报价得分=(评标基准价／投标报价)×价格权值×100。计算分数时四舍五入取小数点后两位,分数最高不超过30分。</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评标过程中，不得去掉报价中的最低和最高报价。因落实政府采购政策进行价格调整的，以调整后的价格计算评标基准价和投标报价。</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 xml:space="preserve">技术因素 </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40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1.技术指标、参数完全符合招标文件技术指标、参数要求的得35分；</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2.投标人技术指标参数中</w:t>
            </w:r>
            <w:r>
              <w:rPr>
                <w:rFonts w:hint="eastAsia" w:ascii="仿宋" w:hAnsi="仿宋" w:eastAsia="仿宋" w:cs="仿宋"/>
                <w:color w:val="auto"/>
                <w:sz w:val="18"/>
                <w:szCs w:val="18"/>
                <w:highlight w:val="none"/>
                <w:vertAlign w:val="baseline"/>
                <w:lang w:eastAsia="zh-CN"/>
              </w:rPr>
              <w:t>★</w:t>
            </w:r>
            <w:r>
              <w:rPr>
                <w:rFonts w:hint="eastAsia" w:ascii="宋体" w:hAnsi="宋体" w:eastAsia="宋体" w:cs="宋体"/>
                <w:color w:val="auto"/>
                <w:sz w:val="18"/>
                <w:szCs w:val="18"/>
                <w:highlight w:val="none"/>
                <w:lang w:val="en-US" w:eastAsia="zh-CN" w:bidi="ar-SA"/>
              </w:rPr>
              <w:t>号参数每低于技术规格中任一条性能要求的扣3分，非</w:t>
            </w:r>
            <w:r>
              <w:rPr>
                <w:rFonts w:hint="eastAsia" w:ascii="仿宋" w:hAnsi="仿宋" w:eastAsia="仿宋" w:cs="仿宋"/>
                <w:color w:val="auto"/>
                <w:sz w:val="18"/>
                <w:szCs w:val="18"/>
                <w:highlight w:val="none"/>
                <w:vertAlign w:val="baseline"/>
                <w:lang w:eastAsia="zh-CN"/>
              </w:rPr>
              <w:t>★</w:t>
            </w:r>
            <w:r>
              <w:rPr>
                <w:rFonts w:hint="eastAsia" w:ascii="宋体" w:hAnsi="宋体" w:eastAsia="宋体" w:cs="宋体"/>
                <w:color w:val="auto"/>
                <w:sz w:val="18"/>
                <w:szCs w:val="18"/>
                <w:highlight w:val="none"/>
                <w:lang w:val="en-US" w:eastAsia="zh-CN" w:bidi="ar-SA"/>
              </w:rPr>
              <w:t>号参数每低于技术规格中任一条性能要求的扣1分，扣完为止；</w:t>
            </w:r>
          </w:p>
          <w:p>
            <w:pPr>
              <w:keepNext w:val="0"/>
              <w:keepLines w:val="0"/>
              <w:pageBreakBefore w:val="0"/>
              <w:kinsoku/>
              <w:wordWrap/>
              <w:overflowPunct/>
              <w:topLinePunct w:val="0"/>
              <w:autoSpaceDE/>
              <w:autoSpaceDN/>
              <w:bidi w:val="0"/>
              <w:adjustRightInd/>
              <w:snapToGrid/>
              <w:spacing w:line="288" w:lineRule="auto"/>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3.投标人技术指标参数中有正偏离的，每条加1分，最多加5分（需提供检验报告或说明书予以佐证）</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0" w:hRule="atLeast"/>
        </w:trPr>
        <w:tc>
          <w:tcPr>
            <w:tcW w:w="1369" w:type="dxa"/>
            <w:vMerge w:val="restart"/>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商务因素</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30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进度保障措施（1）评标委员会根据投标文件对项目实施方案的完整性、技术方案说明情况等符合规定和实际等方面情况进行评议并打分；可行得3-4分，一般得1-2分，差得0分；（满分4分）（2）根据本项目具体特点及实际需求、货物质量、各个阶段进度、紧急保障措施及善后处理方案等方面情况进行评议并打分；可行得2分，一般得1分，差得0分；（满分2分）（3）根据本项目实际情况，对运输方案、货物调配、货物交接、清单安排等方面情况进行评议并打分；可行得4分，一般得2分，差得0分；（满分4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质量保障措施详尽、完备、可行；售后服务承诺全面、实施周期科学、售后服务方案合理的，需配备售后服务工程师，需提供证明材料或承诺书（含人员资质及信息等），以上内容完整、优秀的得4-6分，一般的得1-3分，未提供得0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每提供1份有效类似销售业绩得1分，满分5分。以厂家提供的近三年同类产品销售业绩证明资料如合同或中标通知书为准（需加盖单位电子印章），证明材料中需明确显示设备名称、规格型号等，未提供证明资料或无法辨识的，视为无效业绩不计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shd w:val="clear" w:color="auto" w:fill="auto"/>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在交货期满足招标文件要求的基础上，每提前1天加0.5分，最高得3分。</w:t>
            </w:r>
          </w:p>
          <w:p>
            <w:pPr>
              <w:keepNext w:val="0"/>
              <w:keepLines w:val="0"/>
              <w:pageBreakBefore w:val="0"/>
              <w:shd w:val="clear" w:color="auto" w:fill="auto"/>
              <w:kinsoku/>
              <w:wordWrap/>
              <w:overflowPunct/>
              <w:topLinePunct w:val="0"/>
              <w:autoSpaceDE/>
              <w:autoSpaceDN/>
              <w:bidi w:val="0"/>
              <w:adjustRightInd/>
              <w:snapToGrid/>
              <w:spacing w:line="288" w:lineRule="auto"/>
              <w:outlineLvl w:val="9"/>
              <w:rPr>
                <w:rFonts w:hint="eastAsia"/>
                <w:sz w:val="18"/>
                <w:szCs w:val="18"/>
                <w:highlight w:val="none"/>
                <w:lang w:val="en-US" w:eastAsia="zh-CN"/>
              </w:rPr>
            </w:pPr>
            <w:r>
              <w:rPr>
                <w:rFonts w:hint="eastAsia" w:ascii="宋体" w:hAnsi="宋体" w:eastAsia="宋体" w:cs="宋体"/>
                <w:color w:val="auto"/>
                <w:sz w:val="18"/>
                <w:szCs w:val="18"/>
                <w:highlight w:val="none"/>
                <w:lang w:val="en-US" w:eastAsia="zh-CN" w:bidi="ar-SA"/>
              </w:rPr>
              <w:t>质保期内，中标人包修包换不得收取任何费用。每增加一年质保期得1分，最多得3分。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eastAsia="zh-CN" w:bidi="ar-SA"/>
              </w:rPr>
              <w:t>投标文件页码连续、目录清晰准确、评审内容便于查找，编制内容完整、齐全、叙述严谨；标书无错页、漏页现象；由评委横向对比打分，优的得</w:t>
            </w:r>
            <w:r>
              <w:rPr>
                <w:rFonts w:hint="eastAsia" w:ascii="宋体" w:hAnsi="宋体" w:eastAsia="宋体" w:cs="宋体"/>
                <w:color w:val="auto"/>
                <w:sz w:val="18"/>
                <w:szCs w:val="18"/>
                <w:highlight w:val="none"/>
                <w:lang w:val="en-US" w:eastAsia="zh-CN" w:bidi="ar-SA"/>
              </w:rPr>
              <w:t>3</w:t>
            </w:r>
            <w:r>
              <w:rPr>
                <w:rFonts w:hint="eastAsia" w:ascii="宋体" w:hAnsi="宋体" w:eastAsia="宋体" w:cs="宋体"/>
                <w:color w:val="auto"/>
                <w:sz w:val="18"/>
                <w:szCs w:val="18"/>
                <w:highlight w:val="none"/>
                <w:lang w:eastAsia="zh-CN" w:bidi="ar-SA"/>
              </w:rPr>
              <w:t>分，良的得</w:t>
            </w:r>
            <w:r>
              <w:rPr>
                <w:rFonts w:hint="eastAsia" w:ascii="宋体" w:hAnsi="宋体" w:eastAsia="宋体" w:cs="宋体"/>
                <w:color w:val="auto"/>
                <w:sz w:val="18"/>
                <w:szCs w:val="18"/>
                <w:highlight w:val="none"/>
                <w:lang w:val="en-US" w:eastAsia="zh-CN" w:bidi="ar-SA"/>
              </w:rPr>
              <w:t>2</w:t>
            </w:r>
            <w:r>
              <w:rPr>
                <w:rFonts w:hint="eastAsia" w:ascii="宋体" w:hAnsi="宋体" w:eastAsia="宋体" w:cs="宋体"/>
                <w:color w:val="auto"/>
                <w:sz w:val="18"/>
                <w:szCs w:val="18"/>
                <w:highlight w:val="none"/>
                <w:lang w:eastAsia="zh-CN" w:bidi="ar-SA"/>
              </w:rPr>
              <w:t>分，一般的得</w:t>
            </w:r>
            <w:r>
              <w:rPr>
                <w:rFonts w:hint="eastAsia" w:ascii="宋体" w:hAnsi="宋体" w:eastAsia="宋体" w:cs="宋体"/>
                <w:color w:val="auto"/>
                <w:sz w:val="18"/>
                <w:szCs w:val="18"/>
                <w:highlight w:val="none"/>
                <w:lang w:val="en-US" w:eastAsia="zh-CN" w:bidi="ar-SA"/>
              </w:rPr>
              <w:t>1</w:t>
            </w:r>
            <w:r>
              <w:rPr>
                <w:rFonts w:hint="eastAsia" w:ascii="宋体" w:hAnsi="宋体" w:eastAsia="宋体" w:cs="宋体"/>
                <w:color w:val="auto"/>
                <w:sz w:val="18"/>
                <w:szCs w:val="18"/>
                <w:highlight w:val="none"/>
                <w:lang w:eastAsia="zh-CN" w:bidi="ar-SA"/>
              </w:rPr>
              <w:t>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w:t>
            </w:r>
          </w:p>
        </w:tc>
      </w:tr>
    </w:tbl>
    <w:p>
      <w:pPr>
        <w:spacing w:line="360" w:lineRule="auto"/>
        <w:jc w:val="left"/>
        <w:rPr>
          <w:rFonts w:hint="default" w:eastAsia="宋体"/>
          <w:highlight w:val="none"/>
          <w:lang w:val="en-US" w:eastAsia="zh-CN"/>
        </w:rPr>
      </w:pPr>
    </w:p>
    <w:p>
      <w:pPr>
        <w:pStyle w:val="31"/>
        <w:jc w:val="center"/>
        <w:outlineLvl w:val="9"/>
        <w:rPr>
          <w:rFonts w:hint="eastAsia" w:eastAsia="仿宋"/>
          <w:b/>
          <w:bCs/>
          <w:highlight w:val="none"/>
          <w:lang w:val="en-US" w:eastAsia="zh-CN"/>
        </w:rPr>
      </w:pPr>
    </w:p>
    <w:p>
      <w:pPr>
        <w:pStyle w:val="43"/>
        <w:shd w:val="clear" w:color="auto" w:fill="auto"/>
        <w:tabs>
          <w:tab w:val="left" w:pos="1701"/>
        </w:tabs>
        <w:spacing w:line="440" w:lineRule="exact"/>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pPr>
        <w:shd w:val="clear" w:color="auto" w:fill="auto"/>
        <w:spacing w:line="440" w:lineRule="exact"/>
        <w:ind w:firstLine="480" w:firstLineChars="200"/>
        <w:jc w:val="left"/>
        <w:outlineLvl w:val="9"/>
        <w:rPr>
          <w:rFonts w:hint="eastAsia"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eastAsia="zh-CN" w:bidi="ar-SA"/>
        </w:rPr>
        <w:t>。</w:t>
      </w:r>
    </w:p>
    <w:p>
      <w:pPr>
        <w:shd w:val="clear" w:color="auto" w:fill="auto"/>
        <w:spacing w:before="156" w:beforeLines="50" w:line="400" w:lineRule="exact"/>
        <w:jc w:val="center"/>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推荐中标候选人</w:t>
      </w:r>
      <w:bookmarkEnd w:id="51"/>
      <w:bookmarkEnd w:id="52"/>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pPr>
        <w:shd w:val="clear" w:color="auto" w:fill="auto"/>
        <w:spacing w:line="400" w:lineRule="exact"/>
        <w:ind w:firstLine="470"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6"/>
    <w:p>
      <w:pPr>
        <w:shd w:val="clear" w:color="auto" w:fill="auto"/>
        <w:snapToGrid w:val="0"/>
        <w:spacing w:line="40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pPr>
        <w:shd w:val="clear" w:color="auto" w:fill="auto"/>
        <w:snapToGrid w:val="0"/>
        <w:spacing w:line="400" w:lineRule="exact"/>
        <w:outlineLvl w:val="9"/>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(1) 未在开标截止时间前通过网上招标投标系统递交有效电子投标文件的，开标系统不予接收。</w:t>
      </w:r>
    </w:p>
    <w:p>
      <w:pPr>
        <w:shd w:val="clear" w:color="auto" w:fill="auto"/>
        <w:snapToGrid w:val="0"/>
        <w:spacing w:line="400" w:lineRule="exact"/>
        <w:ind w:firstLine="480" w:firstLineChars="200"/>
        <w:outlineLvl w:val="9"/>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pPr>
        <w:shd w:val="clear" w:color="auto" w:fill="auto"/>
        <w:snapToGrid w:val="0"/>
        <w:spacing w:line="4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val="0"/>
          <w:bCs w:val="0"/>
          <w:color w:val="auto"/>
          <w:szCs w:val="21"/>
          <w:highlight w:val="none"/>
        </w:rPr>
        <w:t>)评标专家无法查看并检验电子标书中相关资料的；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（13）投标人使用相同的MAC地址进行报名的</w:t>
      </w:r>
      <w:r>
        <w:rPr>
          <w:rFonts w:hint="eastAsia" w:ascii="仿宋" w:hAnsi="仿宋" w:eastAsia="仿宋" w:cs="仿宋"/>
          <w:color w:val="auto"/>
          <w:szCs w:val="21"/>
          <w:highlight w:val="none"/>
          <w:lang w:eastAsia="zh-CN"/>
        </w:rPr>
        <w:t>；</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shd w:val="clear" w:color="auto" w:fill="auto"/>
        <w:snapToGrid w:val="0"/>
        <w:spacing w:line="4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w:t>
      </w:r>
      <w:r>
        <w:rPr>
          <w:rFonts w:hint="eastAsia" w:ascii="仿宋" w:hAnsi="仿宋" w:eastAsia="仿宋" w:cs="仿宋"/>
          <w:color w:val="auto"/>
          <w:szCs w:val="21"/>
          <w:highlight w:val="none"/>
          <w:lang w:eastAsia="zh-CN"/>
        </w:rPr>
        <w:t>签章</w:t>
      </w:r>
      <w:r>
        <w:rPr>
          <w:rFonts w:hint="eastAsia" w:ascii="仿宋" w:hAnsi="仿宋" w:eastAsia="仿宋" w:cs="仿宋"/>
          <w:color w:val="auto"/>
          <w:szCs w:val="21"/>
          <w:highlight w:val="none"/>
        </w:rPr>
        <w:t>、盖章不全，经评标委员会一致认定对开评标内容有实质性影响并经监督部门核准的；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）其它情形，经评标委员会委提出按无效投标处理，并经公共资源交易监督部门核准的；</w:t>
      </w:r>
    </w:p>
    <w:p>
      <w:pPr>
        <w:widowControl/>
        <w:shd w:val="clear" w:color="auto" w:fill="auto"/>
        <w:spacing w:line="50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pPr>
        <w:widowControl/>
        <w:shd w:val="clear" w:color="auto" w:fill="auto"/>
        <w:spacing w:line="50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p>
    <w:p>
      <w:pPr>
        <w:shd w:val="clear" w:color="auto" w:fill="auto"/>
        <w:tabs>
          <w:tab w:val="left" w:pos="1123"/>
        </w:tabs>
        <w:snapToGrid w:val="0"/>
        <w:spacing w:line="5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pageBreakBefore/>
        <w:shd w:val="clear" w:color="auto" w:fill="auto"/>
        <w:spacing w:line="360" w:lineRule="auto"/>
        <w:jc w:val="center"/>
        <w:outlineLvl w:val="9"/>
        <w:rPr>
          <w:rFonts w:hint="eastAsia" w:ascii="仿宋" w:hAnsi="仿宋" w:eastAsia="仿宋" w:cs="仿宋"/>
          <w:b/>
          <w:color w:val="auto"/>
          <w:sz w:val="32"/>
          <w:szCs w:val="32"/>
          <w:highlight w:val="none"/>
        </w:rPr>
        <w:sectPr>
          <w:footerReference r:id="rId8" w:type="default"/>
          <w:pgSz w:w="11906" w:h="16838"/>
          <w:pgMar w:top="1440" w:right="1134" w:bottom="1440" w:left="1134" w:header="851" w:footer="992" w:gutter="0"/>
          <w:pgNumType w:fmt="decimal" w:start="1"/>
          <w:cols w:space="720" w:num="1"/>
          <w:docGrid w:type="linesAndChars" w:linePitch="312" w:charSpace="0"/>
        </w:sectPr>
      </w:pPr>
      <w:bookmarkStart w:id="54" w:name="_Toc469495737"/>
      <w:bookmarkStart w:id="55" w:name="OLE_LINK4"/>
    </w:p>
    <w:p>
      <w:pPr>
        <w:pageBreakBefore/>
        <w:numPr>
          <w:ilvl w:val="0"/>
          <w:numId w:val="7"/>
        </w:numPr>
        <w:shd w:val="clear" w:color="auto" w:fill="auto"/>
        <w:spacing w:line="360" w:lineRule="auto"/>
        <w:ind w:leftChars="0" w:right="0" w:rightChars="0"/>
        <w:jc w:val="center"/>
        <w:outlineLvl w:val="0"/>
        <w:rPr>
          <w:rFonts w:hint="eastAsia" w:ascii="仿宋" w:hAnsi="仿宋" w:eastAsia="仿宋" w:cs="仿宋"/>
          <w:b/>
          <w:color w:val="auto"/>
          <w:sz w:val="30"/>
          <w:szCs w:val="30"/>
          <w:highlight w:val="none"/>
        </w:rPr>
      </w:pPr>
      <w:bookmarkStart w:id="56" w:name="_Toc29986"/>
      <w:r>
        <w:rPr>
          <w:rFonts w:hint="eastAsia" w:ascii="仿宋" w:hAnsi="仿宋" w:eastAsia="仿宋" w:cs="仿宋"/>
          <w:b/>
          <w:color w:val="auto"/>
          <w:sz w:val="30"/>
          <w:szCs w:val="30"/>
          <w:highlight w:val="none"/>
        </w:rPr>
        <w:t xml:space="preserve"> </w:t>
      </w:r>
      <w:bookmarkEnd w:id="47"/>
      <w:bookmarkEnd w:id="54"/>
      <w:r>
        <w:rPr>
          <w:rFonts w:hint="eastAsia" w:ascii="仿宋" w:hAnsi="仿宋" w:eastAsia="仿宋" w:cs="仿宋"/>
          <w:b/>
          <w:color w:val="auto"/>
          <w:sz w:val="30"/>
          <w:szCs w:val="30"/>
          <w:highlight w:val="none"/>
        </w:rPr>
        <w:t>技术规格、数量及质量要求</w:t>
      </w:r>
      <w:bookmarkEnd w:id="56"/>
    </w:p>
    <w:p>
      <w:pPr>
        <w:shd w:val="clear" w:color="auto" w:fill="auto"/>
        <w:spacing w:line="360" w:lineRule="auto"/>
        <w:ind w:firstLine="367" w:firstLineChars="150"/>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阿图什市街道办事处社区卫生服务中心项目设备采购项目(</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包)采购清单及参数</w:t>
      </w:r>
    </w:p>
    <w:p>
      <w:pPr>
        <w:rPr>
          <w:rFonts w:hint="eastAsia" w:ascii="仿宋" w:hAnsi="仿宋" w:eastAsia="仿宋" w:cs="仿宋"/>
          <w:b/>
          <w:bCs/>
          <w:sz w:val="24"/>
          <w:szCs w:val="24"/>
          <w:highlight w:val="none"/>
        </w:rPr>
      </w:pPr>
      <w:bookmarkStart w:id="57" w:name="_Toc340225294"/>
      <w:bookmarkStart w:id="58" w:name="_Toc267320052"/>
    </w:p>
    <w:tbl>
      <w:tblPr>
        <w:tblStyle w:val="23"/>
        <w:tblW w:w="1330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6"/>
        <w:gridCol w:w="1627"/>
        <w:gridCol w:w="8797"/>
        <w:gridCol w:w="1100"/>
        <w:gridCol w:w="11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序号</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名称</w:t>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规格要求</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数量</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1</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生化仪</w:t>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1.仪器类型：随机任选、分立式全自动生化分析仪</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2.分析速度：生化恒速800T/H，选配ISE速度可达1200T/H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3.★最大可同时分析项目：≥181个（包含生化，ISE，血清指数等）</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4.测试原理：比色法、比浊法、离子选择电极法(选配)</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5.分析方法：终点法、固定时间法、动力学法;</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6.★样本位：≥182个样本位；</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7.样本量：1.5μL～35uL， 0.1µl步进。</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8.试剂盘冷藏温度：2～8℃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9.★试剂位：≥174个试剂位；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10.试剂量：10μL～200uL， 0.5µl步进。</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11.反应杯位：≥161个,光径5mm；</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12.★最小反应体积： ≤74µl；</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13.温控方式：固体直热，升温快，免维护；</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14.比色杯清洗：8阶，自动温水/清洗剂清洗</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15.光学系统：全息凹面光栅后分光系统</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16.波长：340～850nm ,16个波长</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17.吸光度线性范围：0～3.5 Abs</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18.★样品携带污染率：不大于0.05%</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19.具有酶线性拓展功能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20.★支持HbA1c全血测试功能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21.支持在线试剂装载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22.支持一个项目放置多套试剂</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23.操作系统：全中文操作界面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24.支持定时休眠和手动休眠</w:t>
            </w:r>
          </w:p>
          <w:p>
            <w:pPr>
              <w:jc w:val="both"/>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000000"/>
                <w:sz w:val="21"/>
                <w:szCs w:val="21"/>
                <w:highlight w:val="none"/>
                <w:u w:val="none"/>
              </w:rPr>
              <w:t>25.★生产厂家拥</w:t>
            </w:r>
            <w:r>
              <w:rPr>
                <w:rFonts w:hint="eastAsia" w:ascii="仿宋" w:hAnsi="仿宋" w:eastAsia="仿宋" w:cs="仿宋"/>
                <w:i w:val="0"/>
                <w:iCs w:val="0"/>
                <w:color w:val="auto"/>
                <w:sz w:val="21"/>
                <w:szCs w:val="21"/>
                <w:highlight w:val="none"/>
                <w:u w:val="none"/>
              </w:rPr>
              <w:t>有有通过CNAS认可的标准化实验室，并提供证明文件。</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26.★配套系统：具备原厂生</w:t>
            </w:r>
            <w:r>
              <w:rPr>
                <w:rFonts w:hint="eastAsia" w:ascii="仿宋" w:hAnsi="仿宋" w:eastAsia="仿宋" w:cs="仿宋"/>
                <w:i w:val="0"/>
                <w:iCs w:val="0"/>
                <w:color w:val="auto"/>
                <w:sz w:val="21"/>
                <w:szCs w:val="21"/>
                <w:highlight w:val="none"/>
                <w:u w:val="none"/>
              </w:rPr>
              <w:t>产通过SFDA注册的配套校准物和质控物，可直接溯源至国际参考方法，保证检测系统的可靠性，并提供证明文件。</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光明1台、幸福3台、新城2台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2</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rPr>
              <w:t>动态血压仪</w:t>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一、采集盒：</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1.全玻璃面板，体积小，重量＜170g，方便受检者佩戴</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2.LED彩色屏幕显示，能够清晰显示时间、电池电量、血压测量结果</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3.扇形设计的袖带和手臂的贴合，保证患者佩戴舒适性；袖带延长管连接处采用自锁结构，能够快速连接、更换袖带</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4.灵活的数据传输方式，支持type C的方式进行数据传输、读取</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5.防水等级：支持IP22防水等级</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6.供电要求：直流电源，2节AA电池供电</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7.电池仓拉绳设计，方便医生日常电池的更换；</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8.支持事件记录功能，结合事件记录对血压数据进行分析</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9.支持体位记录功能，能够辅助临床判断患者血压测量时的体位情况</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10.数据存储器：闪存储存，至少可存储300组数据</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二、测量范围</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1.测量方法：示波法</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2.量程：0 mmHg~300 mmHg，精度：±3 mmHg (±0.4kPa)</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3.压力测量范围：10 mmHg~290 mmHg，最大平均误差：±5 mmHg（0.67kPa），最大标准偏差：8 mmHg（1.07kPa）</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4.脉率测量范围：40 bpm~240 bpm</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5.过压保护：当血压测量压力值超过297mmHg±3mmHg时，开启过压保护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6.监测时长：24小时</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7.监测间隔：5分钟、10分钟、15分钟、20分钟、30分钟、45分钟、60分钟、90分钟、120分钟</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8.安全系统：最大充气气压为300 mmHg，最大测量时常为120 s</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三、分析软件</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1.能够自动生成解释性总结，提供诊断术语库，方便医生快速编写诊断结论</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2.具有智能检索功能，支持对病例进行快速查找</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3.可自动删除已读取数据，防止病人数据混淆</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4.具有数据表、统计表、直方图、饼图、昼夜节律图等分析工具，能够更加直观的分析数据</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5.支持平均压、测量比较功能、脉压分析、动态动脉硬化指数分析、晨峰血压分析、白大衣分析，多种分析功能辅助医生分析诊断</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6.相关图分析：可查看收缩压和舒张压相关性，查看全部和部分相关图，数据范围可支持总体、白天、夜间</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7.提供病人信息、管理列表、报告内容自定义配置，灵活的配置满足多样化的需求</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8.数据管理和报告打印：用户可以编辑、存储、打印病人的血压、数据表、直方图、饼图、昼夜节律图等信息</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9.支持与同品牌信息化系统集成，可实现数据传输功能</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23台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光明10台、幸福10台、新城3台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3</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动态心电图</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一、采集盒：</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1.1外形精巧，体积小，重量≤80g，方便受检者佩戴;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 SD卡存储，容量≥1G</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 1.46 寸全彩LCD液晶屏幕可显示波形、电池电量、记录时间、记录状态、病人信息、事件标记、起搏状态等信息</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1.4 配备3键键盘，方便设置记录器的记录参数、波形切换等操作；具有事件按钮，可以准确记录事件发生的时间</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1.5灵活的数据传输方式，同时支持SD卡和USB2.0高速传输、读取数据</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1.6病历保护功能，如果监测到记录器中含有没有分析的数据，记录盒会报警提示，保证数据不丢失</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1.8电极脱落提示</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1.9 功耗低，1节AAA电池可支持不少于140小时的动态心电记录，有效避免记录过程中更换电池而影响数据采集的连续性</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二、信号处理</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2.1频率响应：0.05～55Hz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2.2输入阻抗：≥20MΩ</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2.3输入回路电流：≤0.1μA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2.4噪声电平：≤50μVp-p</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2.5极化电压：±300mV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2.6共模抑制比（CMRR）：≥100dB</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2.7时间常数：≥3.2s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2.8增益：5mm/mV、10mm/mV、20mm/mV</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2.9记录通道：12导、3导二合一，自动识别导联类型、完成记录模式切换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2.10采样率：25000 Hz  </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2.11 A/D转换精度：24位</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2.12记录天数：0、1、2天可调</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2.13起搏检测：多通道同时检测，可识别±2mV~±200mV, 0.1~2.0ms的起搏信号</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三、分析软件</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 软件同时兼容3/12导联记录盒</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3.3 专用儿童模式：提供针对儿童的特异性分析算法来进行儿童患者的数据分析，提高分析的准确性</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3.4 心电数据滤波：提供工频滤波、基线漂移滤波、低通滤波等多种滤波功能，提高所采集的心电信号质量</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w:t>
            </w:r>
            <w:r>
              <w:rPr>
                <w:rFonts w:hint="eastAsia" w:ascii="仿宋" w:hAnsi="仿宋" w:eastAsia="仿宋" w:cs="仿宋"/>
                <w:i w:val="0"/>
                <w:iCs w:val="0"/>
                <w:color w:val="000000"/>
                <w:sz w:val="21"/>
                <w:szCs w:val="21"/>
                <w:highlight w:val="none"/>
                <w:u w:val="none"/>
                <w:lang w:val="en-US" w:eastAsia="zh-CN"/>
              </w:rPr>
              <w:t>5</w:t>
            </w:r>
            <w:r>
              <w:rPr>
                <w:rFonts w:hint="eastAsia" w:ascii="仿宋" w:hAnsi="仿宋" w:eastAsia="仿宋" w:cs="仿宋"/>
                <w:i w:val="0"/>
                <w:iCs w:val="0"/>
                <w:color w:val="000000"/>
                <w:sz w:val="21"/>
                <w:szCs w:val="21"/>
                <w:highlight w:val="none"/>
                <w:u w:val="none"/>
              </w:rPr>
              <w:t xml:space="preserve"> 丰富的心律失常分析手段：自动识别各类心律失常，可根据需要修改心律失常的自动判别参数，支持自定义心律失常事件</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w:t>
            </w:r>
            <w:r>
              <w:rPr>
                <w:rFonts w:hint="eastAsia" w:ascii="仿宋" w:hAnsi="仿宋" w:eastAsia="仿宋" w:cs="仿宋"/>
                <w:i w:val="0"/>
                <w:iCs w:val="0"/>
                <w:color w:val="000000"/>
                <w:sz w:val="21"/>
                <w:szCs w:val="21"/>
                <w:highlight w:val="none"/>
                <w:u w:val="none"/>
                <w:lang w:val="en-US" w:eastAsia="zh-CN"/>
              </w:rPr>
              <w:t>6</w:t>
            </w:r>
            <w:r>
              <w:rPr>
                <w:rFonts w:hint="eastAsia" w:ascii="仿宋" w:hAnsi="仿宋" w:eastAsia="仿宋" w:cs="仿宋"/>
                <w:i w:val="0"/>
                <w:iCs w:val="0"/>
                <w:color w:val="000000"/>
                <w:sz w:val="21"/>
                <w:szCs w:val="21"/>
                <w:highlight w:val="none"/>
                <w:u w:val="none"/>
              </w:rPr>
              <w:t xml:space="preserve"> 准确的QRS形态分类，可自动识别正常、房早、室早、插入性室早、起搏、伪差等心拍类型，并支持不少于20种模板分类选项</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w:t>
            </w:r>
            <w:r>
              <w:rPr>
                <w:rFonts w:hint="eastAsia" w:ascii="仿宋" w:hAnsi="仿宋" w:eastAsia="仿宋" w:cs="仿宋"/>
                <w:i w:val="0"/>
                <w:iCs w:val="0"/>
                <w:color w:val="000000"/>
                <w:sz w:val="21"/>
                <w:szCs w:val="21"/>
                <w:highlight w:val="none"/>
                <w:u w:val="none"/>
                <w:lang w:val="en-US" w:eastAsia="zh-CN"/>
              </w:rPr>
              <w:t>7</w:t>
            </w:r>
            <w:r>
              <w:rPr>
                <w:rFonts w:hint="eastAsia" w:ascii="仿宋" w:hAnsi="仿宋" w:eastAsia="仿宋" w:cs="仿宋"/>
                <w:i w:val="0"/>
                <w:iCs w:val="0"/>
                <w:color w:val="000000"/>
                <w:sz w:val="21"/>
                <w:szCs w:val="21"/>
                <w:highlight w:val="none"/>
                <w:u w:val="none"/>
              </w:rPr>
              <w:t xml:space="preserve"> 模板编辑功能：具有模板合并和拆分功能，方便医生进行快速归类，并对编辑过的模板进行标记</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w:t>
            </w:r>
            <w:r>
              <w:rPr>
                <w:rFonts w:hint="eastAsia" w:ascii="仿宋" w:hAnsi="仿宋" w:eastAsia="仿宋" w:cs="仿宋"/>
                <w:i w:val="0"/>
                <w:iCs w:val="0"/>
                <w:color w:val="000000"/>
                <w:sz w:val="21"/>
                <w:szCs w:val="21"/>
                <w:highlight w:val="none"/>
                <w:u w:val="none"/>
                <w:lang w:val="en-US" w:eastAsia="zh-CN"/>
              </w:rPr>
              <w:t>8</w:t>
            </w:r>
            <w:r>
              <w:rPr>
                <w:rFonts w:hint="eastAsia" w:ascii="仿宋" w:hAnsi="仿宋" w:eastAsia="仿宋" w:cs="仿宋"/>
                <w:i w:val="0"/>
                <w:iCs w:val="0"/>
                <w:color w:val="000000"/>
                <w:sz w:val="21"/>
                <w:szCs w:val="21"/>
                <w:highlight w:val="none"/>
                <w:u w:val="none"/>
              </w:rPr>
              <w:t xml:space="preserve"> 散点图分析：可以提供Lorenz散点图、差值散点图、24小时散点图、小时散点图、时序散点图等多种散点图工具，支持散点图反向定位心搏操作，帮助医生快速诊断异常心搏；支持任意时间段散点图显示，实现快速编辑和确认短暂房颤、短阵过速心律失常现象</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w:t>
            </w:r>
            <w:r>
              <w:rPr>
                <w:rFonts w:hint="eastAsia" w:ascii="仿宋" w:hAnsi="仿宋" w:eastAsia="仿宋" w:cs="仿宋"/>
                <w:i w:val="0"/>
                <w:iCs w:val="0"/>
                <w:color w:val="000000"/>
                <w:sz w:val="21"/>
                <w:szCs w:val="21"/>
                <w:highlight w:val="none"/>
                <w:u w:val="none"/>
                <w:lang w:val="en-US" w:eastAsia="zh-CN"/>
              </w:rPr>
              <w:t>9</w:t>
            </w:r>
            <w:r>
              <w:rPr>
                <w:rFonts w:hint="eastAsia" w:ascii="仿宋" w:hAnsi="仿宋" w:eastAsia="仿宋" w:cs="仿宋"/>
                <w:i w:val="0"/>
                <w:iCs w:val="0"/>
                <w:color w:val="000000"/>
                <w:sz w:val="21"/>
                <w:szCs w:val="21"/>
                <w:highlight w:val="none"/>
                <w:u w:val="none"/>
              </w:rPr>
              <w:t xml:space="preserve"> 叠加图分析：提供心搏叠加窗口，具有反混淆分析功能，能根据心搏形态差异对异常心搏（特别是宽QRS波群或伪差）进行快速分辨、圈选，并加以修改</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w:t>
            </w:r>
            <w:r>
              <w:rPr>
                <w:rFonts w:hint="eastAsia" w:ascii="仿宋" w:hAnsi="仿宋" w:eastAsia="仿宋" w:cs="仿宋"/>
                <w:i w:val="0"/>
                <w:iCs w:val="0"/>
                <w:color w:val="000000"/>
                <w:sz w:val="21"/>
                <w:szCs w:val="21"/>
                <w:highlight w:val="none"/>
                <w:u w:val="none"/>
                <w:lang w:val="en-US" w:eastAsia="zh-CN"/>
              </w:rPr>
              <w:t>0</w:t>
            </w:r>
            <w:r>
              <w:rPr>
                <w:rFonts w:hint="eastAsia" w:ascii="仿宋" w:hAnsi="仿宋" w:eastAsia="仿宋" w:cs="仿宋"/>
                <w:i w:val="0"/>
                <w:iCs w:val="0"/>
                <w:color w:val="000000"/>
                <w:sz w:val="21"/>
                <w:szCs w:val="21"/>
                <w:highlight w:val="none"/>
                <w:u w:val="none"/>
              </w:rPr>
              <w:t xml:space="preserve"> 散点+叠加图分析：同屏显示所选模板的散点图+叠加图，同时结合RR间期和波形形态实现心拍的快速分类，大大提高工作效率</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w:t>
            </w:r>
            <w:r>
              <w:rPr>
                <w:rFonts w:hint="eastAsia" w:ascii="仿宋" w:hAnsi="仿宋" w:eastAsia="仿宋" w:cs="仿宋"/>
                <w:i w:val="0"/>
                <w:iCs w:val="0"/>
                <w:color w:val="000000"/>
                <w:sz w:val="21"/>
                <w:szCs w:val="21"/>
                <w:highlight w:val="none"/>
                <w:u w:val="none"/>
                <w:lang w:val="en-US" w:eastAsia="zh-CN"/>
              </w:rPr>
              <w:t>1</w:t>
            </w:r>
            <w:r>
              <w:rPr>
                <w:rFonts w:hint="eastAsia" w:ascii="仿宋" w:hAnsi="仿宋" w:eastAsia="仿宋" w:cs="仿宋"/>
                <w:i w:val="0"/>
                <w:iCs w:val="0"/>
                <w:color w:val="000000"/>
                <w:sz w:val="21"/>
                <w:szCs w:val="21"/>
                <w:highlight w:val="none"/>
                <w:u w:val="none"/>
              </w:rPr>
              <w:t xml:space="preserve"> 直方图分析：可以提供R-R间期、R-V间期、R-R提前量、R-V提前量、RR间期比、起搏到起搏等20多种常用分布直方图分析工具</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w:t>
            </w:r>
            <w:r>
              <w:rPr>
                <w:rFonts w:hint="eastAsia" w:ascii="仿宋" w:hAnsi="仿宋" w:eastAsia="仿宋" w:cs="仿宋"/>
                <w:i w:val="0"/>
                <w:iCs w:val="0"/>
                <w:color w:val="000000"/>
                <w:sz w:val="21"/>
                <w:szCs w:val="21"/>
                <w:highlight w:val="none"/>
                <w:u w:val="none"/>
                <w:lang w:val="en-US" w:eastAsia="zh-CN"/>
              </w:rPr>
              <w:t>2</w:t>
            </w:r>
            <w:r>
              <w:rPr>
                <w:rFonts w:hint="eastAsia" w:ascii="仿宋" w:hAnsi="仿宋" w:eastAsia="仿宋" w:cs="仿宋"/>
                <w:i w:val="0"/>
                <w:iCs w:val="0"/>
                <w:color w:val="000000"/>
                <w:sz w:val="21"/>
                <w:szCs w:val="21"/>
                <w:highlight w:val="none"/>
                <w:u w:val="none"/>
              </w:rPr>
              <w:t xml:space="preserve"> 房颤/房扑自动分析：一键自动检测房颤/房扑，列表显示房颤/房扑发生的时间、持续时间等，支持对房颤/房扑事件的手动修改</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w:t>
            </w:r>
            <w:r>
              <w:rPr>
                <w:rFonts w:hint="eastAsia" w:ascii="仿宋" w:hAnsi="仿宋" w:eastAsia="仿宋" w:cs="仿宋"/>
                <w:i w:val="0"/>
                <w:iCs w:val="0"/>
                <w:color w:val="000000"/>
                <w:sz w:val="21"/>
                <w:szCs w:val="21"/>
                <w:highlight w:val="none"/>
                <w:u w:val="none"/>
                <w:lang w:val="en-US" w:eastAsia="zh-CN"/>
              </w:rPr>
              <w:t>3</w:t>
            </w:r>
            <w:r>
              <w:rPr>
                <w:rFonts w:hint="eastAsia" w:ascii="仿宋" w:hAnsi="仿宋" w:eastAsia="仿宋" w:cs="仿宋"/>
                <w:i w:val="0"/>
                <w:iCs w:val="0"/>
                <w:color w:val="000000"/>
                <w:sz w:val="21"/>
                <w:szCs w:val="21"/>
                <w:highlight w:val="none"/>
                <w:u w:val="none"/>
              </w:rPr>
              <w:t xml:space="preserve"> ST段分析：软件支持对全导联ST段抬高、压低情况进行自动列表统计，并显示ST段变化的趋势，方便快速地查找各个时间点心电图和ST段变化；可手动修改/添加/删除ST事件；支持单独界面的ST段重分析操作，有效避免重分析操作对已修改模板的影响</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w:t>
            </w:r>
            <w:r>
              <w:rPr>
                <w:rFonts w:hint="eastAsia" w:ascii="仿宋" w:hAnsi="仿宋" w:eastAsia="仿宋" w:cs="仿宋"/>
                <w:i w:val="0"/>
                <w:iCs w:val="0"/>
                <w:color w:val="000000"/>
                <w:sz w:val="21"/>
                <w:szCs w:val="21"/>
                <w:highlight w:val="none"/>
                <w:u w:val="none"/>
                <w:lang w:val="en-US" w:eastAsia="zh-CN"/>
              </w:rPr>
              <w:t>4</w:t>
            </w:r>
            <w:r>
              <w:rPr>
                <w:rFonts w:hint="eastAsia" w:ascii="仿宋" w:hAnsi="仿宋" w:eastAsia="仿宋" w:cs="仿宋"/>
                <w:i w:val="0"/>
                <w:iCs w:val="0"/>
                <w:color w:val="000000"/>
                <w:sz w:val="21"/>
                <w:szCs w:val="21"/>
                <w:highlight w:val="none"/>
                <w:u w:val="none"/>
              </w:rPr>
              <w:t xml:space="preserve"> 多通道采集起搏器脉冲信号，并可对AOO、VOO、AAI、VVI、DDD等十六种起搏器进行分析</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w:t>
            </w:r>
            <w:r>
              <w:rPr>
                <w:rFonts w:hint="eastAsia" w:ascii="仿宋" w:hAnsi="仿宋" w:eastAsia="仿宋" w:cs="仿宋"/>
                <w:i w:val="0"/>
                <w:iCs w:val="0"/>
                <w:color w:val="000000"/>
                <w:sz w:val="21"/>
                <w:szCs w:val="21"/>
                <w:highlight w:val="none"/>
                <w:u w:val="none"/>
                <w:lang w:val="en-US" w:eastAsia="zh-CN"/>
              </w:rPr>
              <w:t>5</w:t>
            </w:r>
            <w:r>
              <w:rPr>
                <w:rFonts w:hint="eastAsia" w:ascii="仿宋" w:hAnsi="仿宋" w:eastAsia="仿宋" w:cs="仿宋"/>
                <w:i w:val="0"/>
                <w:iCs w:val="0"/>
                <w:color w:val="000000"/>
                <w:sz w:val="21"/>
                <w:szCs w:val="21"/>
                <w:highlight w:val="none"/>
                <w:u w:val="none"/>
              </w:rPr>
              <w:t xml:space="preserve"> 支持心率变异自动分析：从R-R间期散点图、时域趋势图、频域趋势图、时域趋势表、频域趋势表、长时程心率变异、心率变异三维图、心律减速力等多个方面进行分析</w:t>
            </w:r>
          </w:p>
          <w:p>
            <w:pPr>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w:t>
            </w:r>
            <w:r>
              <w:rPr>
                <w:rFonts w:hint="eastAsia" w:ascii="仿宋" w:hAnsi="仿宋" w:eastAsia="仿宋" w:cs="仿宋"/>
                <w:i w:val="0"/>
                <w:iCs w:val="0"/>
                <w:color w:val="000000"/>
                <w:sz w:val="21"/>
                <w:szCs w:val="21"/>
                <w:highlight w:val="none"/>
                <w:u w:val="none"/>
                <w:lang w:val="en-US" w:eastAsia="zh-CN"/>
              </w:rPr>
              <w:t>16</w:t>
            </w:r>
            <w:r>
              <w:rPr>
                <w:rFonts w:hint="eastAsia" w:ascii="仿宋" w:hAnsi="仿宋" w:eastAsia="仿宋" w:cs="仿宋"/>
                <w:i w:val="0"/>
                <w:iCs w:val="0"/>
                <w:color w:val="000000"/>
                <w:sz w:val="21"/>
                <w:szCs w:val="21"/>
                <w:highlight w:val="none"/>
                <w:u w:val="none"/>
              </w:rPr>
              <w:t xml:space="preserve"> 具有QT分析功能：可提供QT趋表、QT直方图、QT离散度等多种分析工具</w:t>
            </w:r>
          </w:p>
          <w:p>
            <w:pPr>
              <w:jc w:val="both"/>
              <w:rPr>
                <w:rFonts w:hint="eastAsia" w:ascii="仿宋" w:hAnsi="仿宋" w:eastAsia="仿宋" w:cs="仿宋"/>
                <w:i w:val="0"/>
                <w:iCs w:val="0"/>
                <w:color w:val="000000"/>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光明6台、幸福7台、新城2台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4</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疫苗专用冰箱</w:t>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tcPr>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结构设计：</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1、外箱体采用优质冷轧钢板，表面经环保陶化、喷涂工艺处理，内箱体采用国际标准SUS304不锈钢。</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温度控制：</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1、采用微电脑控制系统，温度数字显示，确保精确稳定运行；</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2、精准的电子温度控制，精度达到0.1℃；</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3、优秀的制冷布局，箱内温度稳定在-15℃~-25℃范围内；</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4、适应ST（38℃）环境温度，为试剂、药品、样本等提供可靠的存储温度。</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制冷系统：</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1、环保高效碳氢制冷剂，制冷速度快，制冷效率高，耗电量低；</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2、蒸发器采用传热高效铜管，预埋在内箱壁上，以传导方式制冷，节省内部空间；</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3、高密度保温发泡层采用环保环戊烷发泡剂，保温效果好。</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安全保障：</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1、具备箱内高低温报警、传感器故障报警、断电报警（支持8小时）、开关门异常报警功能；</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2、具备声音蜂鸣和灯光闪烁双重报警方式；</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3、温控器测点故障安全运行模式（显示传感器和控制传感器互为备份）；</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4、密码保护功能，防止随意调整运行参数；</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5、断电保护：冷藏箱延时启动功能，避免电网恢复供电时多台设备同时启动导致断路器保护。</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人性化设计：</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1、宽电压带，适合187~242V电压下使用；</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2、静音设计，适合安静环境；</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3、安全门锁设计，确保存放物品安全；</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4、大屏幕数字显示便于观察；</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5、标配测试孔，方便用户监测或实验采集数据；</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6、高度可调节搁架设计，根据物品的不同调节高度，提高空间利用率；</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7、万向可刹车脚轮设计，方便用户移动设备；</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8、双层门封条设计，锁住冷气，防止外泄，温度更均匀、产品更节能；</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技术参数：</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1、制冷方式（风冷/直冷）：直冷</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2、除霜方式（自动/手动）：手动</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3、制冷剂/g：R290/102g</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4、噪音级别：55dB(A)</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5、温度范围：-15℃~-25℃</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6、电压/频率（V/Hz)：220/50Hz</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7、功率（W)：305</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8、有效容积（L)：350</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9、净重（kg)：130/170</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10、外部尺寸（宽*深*高)(mm)：690×744×1885</w:t>
            </w:r>
          </w:p>
          <w:p>
            <w:pPr>
              <w:numPr>
                <w:ilvl w:val="0"/>
                <w:numId w:val="0"/>
              </w:numPr>
              <w:jc w:val="both"/>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11、内部尺寸（宽*深*高)(mm)：520×567×1266</w:t>
            </w:r>
            <w:r>
              <w:rPr>
                <w:rFonts w:hint="eastAsia" w:ascii="仿宋" w:hAnsi="仿宋" w:eastAsia="仿宋" w:cs="仿宋"/>
                <w:i w:val="0"/>
                <w:iCs w:val="0"/>
                <w:color w:val="000000"/>
                <w:sz w:val="21"/>
                <w:szCs w:val="21"/>
                <w:highlight w:val="none"/>
                <w:u w:val="none"/>
                <w:lang w:val="en-US" w:eastAsia="zh-CN"/>
              </w:rPr>
              <w:tab/>
            </w:r>
            <w:r>
              <w:rPr>
                <w:rFonts w:hint="eastAsia" w:ascii="仿宋" w:hAnsi="仿宋" w:eastAsia="仿宋" w:cs="仿宋"/>
                <w:i w:val="0"/>
                <w:iCs w:val="0"/>
                <w:color w:val="000000"/>
                <w:sz w:val="21"/>
                <w:szCs w:val="21"/>
                <w:highlight w:val="none"/>
                <w:u w:val="none"/>
                <w:lang w:val="en-US" w:eastAsia="zh-CN"/>
              </w:rPr>
              <w:tab/>
            </w:r>
            <w:r>
              <w:rPr>
                <w:rFonts w:hint="eastAsia" w:ascii="仿宋" w:hAnsi="仿宋" w:eastAsia="仿宋" w:cs="仿宋"/>
                <w:i w:val="0"/>
                <w:iCs w:val="0"/>
                <w:color w:val="000000"/>
                <w:sz w:val="21"/>
                <w:szCs w:val="21"/>
                <w:highlight w:val="none"/>
                <w:u w:val="none"/>
                <w:lang w:val="en-US" w:eastAsia="zh-CN"/>
              </w:rPr>
              <w:tab/>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lang w:val="en-US" w:eastAsia="zh-CN"/>
              </w:rPr>
              <w:t>5个</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lang w:val="en-US" w:eastAsia="zh-CN"/>
              </w:rPr>
              <w:t>光明2个、幸福2个、新城1个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5</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足疗沙发</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1、面料防刮耐磨不褶皱;    2、舒适头枕呵护颈椎;    3、角度可一键自由调节;</w:t>
            </w:r>
          </w:p>
          <w:p>
            <w:pP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4、加宽扶手;      5、隐藏式坐凳不占空间;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6张</w:t>
            </w:r>
            <w:r>
              <w:rPr>
                <w:rFonts w:hint="eastAsia" w:ascii="仿宋" w:hAnsi="仿宋" w:eastAsia="仿宋" w:cs="仿宋"/>
                <w:i w:val="0"/>
                <w:iCs w:val="0"/>
                <w:color w:val="000000"/>
                <w:sz w:val="21"/>
                <w:szCs w:val="21"/>
                <w:highlight w:val="none"/>
                <w:u w:val="none"/>
              </w:rPr>
              <w:tab/>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光明4台、新城2台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6</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电脑中频治疗仪</w:t>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电脑中频治疗仪为低频调制中频治疗仪，采用微电脑控制，利用中频振荡发生器产生的中频信号，中频电流被低频电流调制后，其幅度和频率随着低频电流的幅度和频率的变化而变化的电流称为调制中频电流，因此调制中频电流兼有低频电与中频电两种电流各自的特点和治疗作用，作用较深，不产生电解刺激作用。</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技术参数：</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1、额定输入功率：180VA。</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2、使用电源：交流电压 220V±22V，频率50Hz±1Hz。</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3、尺寸（允差±20mm）：长360mm，宽340mm，高205mm。</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4、显示方式：数码触摸显示。</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5、输出通道：四路中频加透热输出、四路离子导入直流输出、两路干扰电输出。即1、2两通道形成一组干扰；3、4两通道形成一组干扰。</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6、中频频率为1kHz～10kHz，单一频率允差±10％。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7、低频调制频率为0～150Hz，单一频率允差±10％或±1Hz取大值。</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8、中频载波波形：双向方波，脉宽50us～500us，允差±10％。调制波形有正弦波、方波、三角波、指数波、锯齿波、尖波、等幅波。</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9、调制方式：连续、断续、间歇、变频、疏密和交替调制。</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1）间歇调制：低频调制方波（载波）占空比为50％，允差±20％。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10、中频调幅度：0%、25%、50%、75%、100%，允差±5％。 </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11、干扰电性能：</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工作频率：4kHz，允差±10％。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调制频率：0.125Hz，允差±10％。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差频频率范围：0～112Hz，允差±10％或±1Hz取较大值。</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调幅度：0%、100%，允差±5％。</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差频变化周期：5.5s、32s，允差±10％。动态节律参数8S，允差±10％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12、具有</w:t>
            </w:r>
            <w:r>
              <w:rPr>
                <w:rFonts w:hint="default" w:ascii="仿宋" w:hAnsi="仿宋" w:eastAsia="仿宋" w:cs="仿宋"/>
                <w:i w:val="0"/>
                <w:iCs w:val="0"/>
                <w:color w:val="000000"/>
                <w:sz w:val="21"/>
                <w:szCs w:val="21"/>
                <w:highlight w:val="none"/>
                <w:u w:val="none"/>
                <w:lang w:val="en-US"/>
              </w:rPr>
              <w:t>9</w:t>
            </w:r>
            <w:r>
              <w:rPr>
                <w:rFonts w:hint="eastAsia" w:ascii="仿宋" w:hAnsi="仿宋" w:eastAsia="仿宋" w:cs="仿宋"/>
                <w:i w:val="0"/>
                <w:iCs w:val="0"/>
                <w:color w:val="000000"/>
                <w:sz w:val="21"/>
                <w:szCs w:val="21"/>
                <w:highlight w:val="none"/>
                <w:u w:val="none"/>
              </w:rPr>
              <w:t>0个固定处方，是理疗专家根据不同的疾病而编制成的，可供医生参考使用。</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13、中频输出电流：在500Ω的负载下，每路输出电流不大于</w:t>
            </w:r>
            <w:r>
              <w:rPr>
                <w:rFonts w:hint="default" w:ascii="仿宋" w:hAnsi="仿宋" w:eastAsia="仿宋" w:cs="仿宋"/>
                <w:i w:val="0"/>
                <w:iCs w:val="0"/>
                <w:color w:val="000000"/>
                <w:sz w:val="21"/>
                <w:szCs w:val="21"/>
                <w:highlight w:val="none"/>
                <w:u w:val="none"/>
                <w:lang w:val="en-US"/>
              </w:rPr>
              <w:t>9</w:t>
            </w:r>
            <w:r>
              <w:rPr>
                <w:rFonts w:hint="eastAsia" w:ascii="仿宋" w:hAnsi="仿宋" w:eastAsia="仿宋" w:cs="仿宋"/>
                <w:i w:val="0"/>
                <w:iCs w:val="0"/>
                <w:color w:val="000000"/>
                <w:sz w:val="21"/>
                <w:szCs w:val="21"/>
                <w:highlight w:val="none"/>
                <w:u w:val="none"/>
              </w:rPr>
              <w:t>0mA。输出强度分0～99级可调。</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14、输出电流稳定度：不同负载下的输出电流变化率应不大于10%。</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15、中频输出峰值电压：在开路条件下测量时，中频输出峰值电压不得超过500V。</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16、运行：输出设定到最大值时，将输出端开路运行10min后再短路运行5min，治疗仪应能正常工作。</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17、电极板温度：38℃～55℃，分6档可调，允差±3℃。加热功能可单独开启及关闭，</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18、离子导入输出直流电流：在500Ω的负载下，每路输出电流不超过50mA，分0～99级可调。</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19、电极板：应选购具有一类医疗器械备案凭证的合格产品。</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20、治疗时间已在处方中，治疗时间根据处方不同为20min、25min、30min、40min、45min，治疗时间到了有音响提示，并停止输出，时间允差±1min。</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21、该产品具有漏电保护、过载保护，短路保护。可连续使用4-5小时。固定形式：柜内存放，临时固定</w:t>
            </w:r>
          </w:p>
          <w:p>
            <w:pP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22、该产品入选国家中医药管理局中医诊疗设备推荐目录。</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4台</w:t>
            </w:r>
            <w:r>
              <w:rPr>
                <w:rFonts w:hint="eastAsia" w:ascii="仿宋" w:hAnsi="仿宋" w:eastAsia="仿宋" w:cs="仿宋"/>
                <w:i w:val="0"/>
                <w:iCs w:val="0"/>
                <w:color w:val="000000"/>
                <w:sz w:val="21"/>
                <w:szCs w:val="21"/>
                <w:highlight w:val="none"/>
                <w:u w:val="none"/>
              </w:rPr>
              <w:tab/>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光明2台、幸福1台、新城1台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7</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红外光灸疗机（局部）</w:t>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注册适用范围：红外光治疗装置用于腰椎间盘突出症引起疼痛的辅助治疗；灸疗装置用于做中医灸疗的工具（提供证明文件予以佐证）。</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技术参数：</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1、安全类型：I类，B型</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2、电源：AC220V  频率：50Hz。         </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3、红外光波长范围580nm～</w:t>
            </w:r>
            <w:r>
              <w:rPr>
                <w:rFonts w:hint="default" w:ascii="仿宋" w:hAnsi="仿宋" w:eastAsia="仿宋" w:cs="仿宋"/>
                <w:i w:val="0"/>
                <w:iCs w:val="0"/>
                <w:color w:val="000000"/>
                <w:sz w:val="21"/>
                <w:szCs w:val="21"/>
                <w:highlight w:val="none"/>
                <w:u w:val="none"/>
                <w:lang w:val="en-US"/>
              </w:rPr>
              <w:t>9</w:t>
            </w:r>
            <w:r>
              <w:rPr>
                <w:rFonts w:hint="eastAsia" w:ascii="仿宋" w:hAnsi="仿宋" w:eastAsia="仿宋" w:cs="仿宋"/>
                <w:i w:val="0"/>
                <w:iCs w:val="0"/>
                <w:color w:val="000000"/>
                <w:sz w:val="21"/>
                <w:szCs w:val="21"/>
                <w:highlight w:val="none"/>
                <w:u w:val="none"/>
              </w:rPr>
              <w:t>50nm；</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4、红外光治疗光功率输出最大</w:t>
            </w:r>
            <w:r>
              <w:rPr>
                <w:rFonts w:hint="default" w:ascii="仿宋" w:hAnsi="仿宋" w:eastAsia="仿宋" w:cs="仿宋"/>
                <w:i w:val="0"/>
                <w:iCs w:val="0"/>
                <w:color w:val="000000"/>
                <w:sz w:val="21"/>
                <w:szCs w:val="21"/>
                <w:highlight w:val="none"/>
                <w:u w:val="none"/>
                <w:lang w:val="en-US"/>
              </w:rPr>
              <w:t>8</w:t>
            </w:r>
            <w:r>
              <w:rPr>
                <w:rFonts w:hint="eastAsia" w:ascii="仿宋" w:hAnsi="仿宋" w:eastAsia="仿宋" w:cs="仿宋"/>
                <w:i w:val="0"/>
                <w:iCs w:val="0"/>
                <w:color w:val="000000"/>
                <w:sz w:val="21"/>
                <w:szCs w:val="21"/>
                <w:highlight w:val="none"/>
                <w:u w:val="none"/>
              </w:rPr>
              <w:t>W，允差±2W;</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5、红外光输出档位三档调节，频率5—60HZ；</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6、艾灸加热温度100—160度；</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7、红光与艾灸可同时输出；</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8、工作时间1min-99min可调，级差1min，允差±10s；</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9、支臂调节方便，艾灸治疗头三维方向可调；</w:t>
            </w:r>
          </w:p>
          <w:p>
            <w:pPr>
              <w:spacing w:line="32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10、具有艾灸能量裙，使艾灸集中于病灶，又避免暴露隐私；</w:t>
            </w:r>
          </w:p>
          <w:p>
            <w:pPr>
              <w:spacing w:line="320" w:lineRule="exact"/>
              <w:rPr>
                <w:rFonts w:hint="eastAsia" w:ascii="仿宋" w:hAnsi="仿宋" w:eastAsia="仿宋" w:cs="仿宋"/>
                <w:i w:val="0"/>
                <w:iCs w:val="0"/>
                <w:color w:val="FF0000"/>
                <w:sz w:val="21"/>
                <w:szCs w:val="21"/>
                <w:highlight w:val="none"/>
                <w:u w:val="none"/>
              </w:rPr>
            </w:pPr>
            <w:r>
              <w:rPr>
                <w:rFonts w:hint="eastAsia" w:ascii="仿宋" w:hAnsi="仿宋" w:eastAsia="仿宋" w:cs="仿宋"/>
                <w:i w:val="0"/>
                <w:iCs w:val="0"/>
                <w:color w:val="000000"/>
                <w:sz w:val="21"/>
                <w:szCs w:val="21"/>
                <w:highlight w:val="none"/>
                <w:u w:val="none"/>
              </w:rPr>
              <w:t>11、具有防倾倒保护功能；</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光明2台、新城2台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8</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红外光灸疗机（全身）</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注册适用范围：红外光治疗装置用于腰椎间盘突出症引起疼痛的辅助治疗；灸疗装置用于做中医灸疗的工具（提供证明文件予以佐证）。</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技术参数：</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1、安全类型：I类，B型</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2、电源：AC220V  频率：50Hz。         </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3、额定功率：3000VA</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4、尺寸2000mm800mm*1400mm，允差±50mm</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5、显示方式：液晶显示</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6、红外光波长范围580nm～</w:t>
            </w:r>
            <w:r>
              <w:rPr>
                <w:rFonts w:hint="default" w:ascii="仿宋" w:hAnsi="仿宋" w:eastAsia="仿宋" w:cs="仿宋"/>
                <w:i w:val="0"/>
                <w:iCs w:val="0"/>
                <w:color w:val="000000"/>
                <w:sz w:val="21"/>
                <w:szCs w:val="21"/>
                <w:highlight w:val="none"/>
                <w:u w:val="none"/>
                <w:lang w:val="en-US"/>
              </w:rPr>
              <w:t>9</w:t>
            </w:r>
            <w:r>
              <w:rPr>
                <w:rFonts w:hint="eastAsia" w:ascii="仿宋" w:hAnsi="仿宋" w:eastAsia="仿宋" w:cs="仿宋"/>
                <w:i w:val="0"/>
                <w:iCs w:val="0"/>
                <w:color w:val="000000"/>
                <w:sz w:val="21"/>
                <w:szCs w:val="21"/>
                <w:highlight w:val="none"/>
                <w:u w:val="none"/>
              </w:rPr>
              <w:t>50nm；</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7、红外光治疗光功率输出最大</w:t>
            </w:r>
            <w:r>
              <w:rPr>
                <w:rFonts w:hint="default" w:ascii="仿宋" w:hAnsi="仿宋" w:eastAsia="仿宋" w:cs="仿宋"/>
                <w:i w:val="0"/>
                <w:iCs w:val="0"/>
                <w:color w:val="000000"/>
                <w:sz w:val="21"/>
                <w:szCs w:val="21"/>
                <w:highlight w:val="none"/>
                <w:u w:val="none"/>
                <w:lang w:val="en-US"/>
              </w:rPr>
              <w:t>8</w:t>
            </w:r>
            <w:r>
              <w:rPr>
                <w:rFonts w:hint="eastAsia" w:ascii="仿宋" w:hAnsi="仿宋" w:eastAsia="仿宋" w:cs="仿宋"/>
                <w:i w:val="0"/>
                <w:iCs w:val="0"/>
                <w:color w:val="000000"/>
                <w:sz w:val="21"/>
                <w:szCs w:val="21"/>
                <w:highlight w:val="none"/>
                <w:u w:val="none"/>
              </w:rPr>
              <w:t>W，允差±2W;</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8、艾灸功能治疗温度：治疗温度不超过60℃；</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9、上部一个红外灯治疗装置和两个艾灸装置下面是4个红外灯治疗装置和 5个艾灸装置；</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10、艾灸装置上下高度可调：治疗装置距床面最小距离260mm，最大距离460mm，允差±30mm；</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11、艾灸装置水平移动行程可调：最大可调长度范围为720mm，允差±30mm；</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12、艾灸装置具有两路独立的温度保护装置；</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13、工作时间1-99min可调，级差1min，允差±10s；</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14、床面额定载荷135kg；</w:t>
            </w:r>
          </w:p>
          <w:p>
            <w:pPr>
              <w:autoSpaceDE w:val="0"/>
              <w:autoSpaceDN w:val="0"/>
              <w:adjustRightInd w:val="0"/>
              <w:spacing w:line="360" w:lineRule="auto"/>
              <w:jc w:val="left"/>
              <w:rPr>
                <w:rFonts w:hint="eastAsia" w:ascii="仿宋" w:hAnsi="仿宋" w:eastAsia="仿宋" w:cs="仿宋"/>
                <w:i w:val="0"/>
                <w:iCs w:val="0"/>
                <w:color w:val="000000"/>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2台</w:t>
            </w:r>
            <w:r>
              <w:rPr>
                <w:rFonts w:hint="eastAsia" w:ascii="仿宋" w:hAnsi="仿宋" w:eastAsia="仿宋" w:cs="仿宋"/>
                <w:i w:val="0"/>
                <w:iCs w:val="0"/>
                <w:color w:val="000000"/>
                <w:sz w:val="21"/>
                <w:szCs w:val="21"/>
                <w:highlight w:val="none"/>
                <w:u w:val="none"/>
              </w:rPr>
              <w:tab/>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光明1台、新城1台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rPr>
              <w:t>9</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深层肌肉刺激仪</w:t>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注册适用范围：适用于颈椎病(神经根型)、肩关节周围炎、慢性软组织损伤引起的疼痛和关节活动受限的辅助治疗（提供证明文件予以佐证）。</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产品介绍</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深层肌肉刺激仪通过高频振动，刺激肌肉、肌腱、关节囊内各种感受器，能够起到活跃细胞，降低肌源性疼痛，提高痛阀，促进血液循环与淋巴回流，加快组织修复与生长，改善本体感觉障碍，松解疤痕组织，减少乳酸堆积，缓解机体疲劳等功效。</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技术参数</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1、高频率，高静音，高转速马达</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2、电池（电压 12V，容量 2000 毫安） </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3、TYPE-C充电接口</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4、电机启动和调速按钮</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5、按摩头（7 种）</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6、电源指示灯（工作时指示灯亮）</w:t>
            </w:r>
          </w:p>
          <w:p>
            <w:pPr>
              <w:jc w:val="left"/>
              <w:rPr>
                <w:rFonts w:hint="eastAsia" w:ascii="仿宋" w:hAnsi="仿宋" w:eastAsia="仿宋" w:cs="仿宋"/>
                <w:i w:val="0"/>
                <w:iCs w:val="0"/>
                <w:color w:val="FF0000"/>
                <w:sz w:val="21"/>
                <w:szCs w:val="21"/>
                <w:highlight w:val="none"/>
                <w:u w:val="none"/>
              </w:rPr>
            </w:pPr>
            <w:r>
              <w:rPr>
                <w:rFonts w:hint="eastAsia" w:ascii="仿宋" w:hAnsi="仿宋" w:eastAsia="仿宋" w:cs="仿宋"/>
                <w:sz w:val="21"/>
                <w:szCs w:val="21"/>
                <w:highlight w:val="none"/>
              </w:rPr>
              <w:t>7、档位指示灯（亮一盏蓝色灯为一档（脉冲频率为1800转/分钟），亮二盏蓝色灯为二档（脉冲频率为2300转/分钟），亮三盏蓝色灯为三档（脉冲频率为2800转/分钟）亮四盏蓝色灯为四档（脉冲频率为3200转/分钟）</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6个</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光明2台、幸福2台、城2台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10</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艾灸移动吸烟机</w:t>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 xml:space="preserve">风 速:2x13m/s </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噪 音:&lt;55db</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 xml:space="preserve">吸烟管:75mmxL1.3mm </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 xml:space="preserve">进风接口:75mm </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 xml:space="preserve">输入电压:AC220V50Hz </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 xml:space="preserve">额定功率:200W </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7、</w:t>
            </w:r>
            <w:r>
              <w:rPr>
                <w:rFonts w:hint="eastAsia" w:ascii="仿宋" w:hAnsi="仿宋" w:eastAsia="仿宋" w:cs="仿宋"/>
                <w:sz w:val="21"/>
                <w:szCs w:val="21"/>
                <w:highlight w:val="none"/>
              </w:rPr>
              <w:t>过滤效果:0.3um</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 xml:space="preserve">最大风量:360m/h </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sz w:val="21"/>
                <w:szCs w:val="21"/>
                <w:highlight w:val="none"/>
                <w:lang w:val="en-US" w:eastAsia="zh-CN"/>
              </w:rPr>
              <w:t>9、</w:t>
            </w:r>
            <w:r>
              <w:rPr>
                <w:rFonts w:hint="eastAsia" w:ascii="仿宋" w:hAnsi="仿宋" w:eastAsia="仿宋" w:cs="仿宋"/>
                <w:sz w:val="21"/>
                <w:szCs w:val="21"/>
                <w:highlight w:val="none"/>
              </w:rPr>
              <w:t>机身重量:15kg</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光明2台、幸福2台、新城1台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11</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蒸汽煎药机</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1.外壳采用不锈钢材质，无任何电镀，喷漆等技术掩盖，符合药品，食品卫生规范</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i w:val="0"/>
                <w:caps w:val="0"/>
                <w:color w:val="000000"/>
                <w:spacing w:val="0"/>
                <w:w w:val="100"/>
                <w:kern w:val="2"/>
                <w:sz w:val="21"/>
                <w:szCs w:val="21"/>
                <w:highlight w:val="none"/>
                <w:lang w:val="en-US" w:eastAsia="zh-CN" w:bidi="ar-SA"/>
              </w:rPr>
            </w:pPr>
            <w:r>
              <w:rPr>
                <w:rStyle w:val="54"/>
                <w:rFonts w:hint="eastAsia" w:ascii="仿宋" w:hAnsi="仿宋" w:eastAsia="仿宋" w:cs="仿宋"/>
                <w:b w:val="0"/>
                <w:i w:val="0"/>
                <w:caps w:val="0"/>
                <w:color w:val="000000"/>
                <w:spacing w:val="0"/>
                <w:w w:val="100"/>
                <w:kern w:val="2"/>
                <w:sz w:val="21"/>
                <w:szCs w:val="21"/>
                <w:highlight w:val="none"/>
                <w:lang w:val="en-US" w:eastAsia="zh-CN" w:bidi="ar-SA"/>
              </w:rPr>
              <w:t>2．数字化总线控制，数字化显示，设计先进，性能稳定。煎药和包装自动操作</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color w:val="000000"/>
                <w:spacing w:val="0"/>
                <w:w w:val="100"/>
                <w:kern w:val="2"/>
                <w:sz w:val="21"/>
                <w:szCs w:val="21"/>
                <w:highlight w:val="none"/>
                <w:lang w:val="en-US" w:eastAsia="zh-CN" w:bidi="ar-SA"/>
              </w:rPr>
            </w:pPr>
            <w:r>
              <w:rPr>
                <w:rStyle w:val="54"/>
                <w:rFonts w:hint="eastAsia" w:ascii="仿宋" w:hAnsi="仿宋" w:eastAsia="仿宋" w:cs="仿宋"/>
                <w:b w:val="0"/>
                <w:i w:val="0"/>
                <w:caps w:val="0"/>
                <w:color w:val="000000"/>
                <w:spacing w:val="0"/>
                <w:w w:val="100"/>
                <w:kern w:val="2"/>
                <w:sz w:val="21"/>
                <w:szCs w:val="21"/>
                <w:highlight w:val="none"/>
                <w:lang w:val="en-US" w:eastAsia="zh-CN" w:bidi="ar-SA"/>
              </w:rPr>
              <w:t>3．煎药包装一体化，玻璃缸锅体，一目了然</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4，加热煎煮、大、中、小四个火候任意调节转换，节能降耗</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5.锅盖封闭煎煮，具有先煎后下功能</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6.同时可煎二个不同的处方。煎药防干烧功能</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7.具有定时设定控制功能，控制精度更高</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8．一次煎药量(付)</w:t>
            </w:r>
            <w:r>
              <w:rPr>
                <w:rStyle w:val="54"/>
                <w:rFonts w:hint="eastAsia" w:ascii="仿宋" w:hAnsi="仿宋" w:eastAsia="仿宋" w:cs="仿宋"/>
                <w:b w:val="0"/>
                <w:i w:val="0"/>
                <w:caps w:val="0"/>
                <w:spacing w:val="0"/>
                <w:w w:val="100"/>
                <w:kern w:val="2"/>
                <w:sz w:val="21"/>
                <w:szCs w:val="21"/>
                <w:highlight w:val="none"/>
                <w:lang w:val="en-US" w:eastAsia="zh-CN" w:bidi="ar-SA"/>
              </w:rPr>
              <w:tab/>
            </w:r>
            <w:r>
              <w:rPr>
                <w:rStyle w:val="54"/>
                <w:rFonts w:hint="eastAsia" w:ascii="仿宋" w:hAnsi="仿宋" w:eastAsia="仿宋" w:cs="仿宋"/>
                <w:b w:val="0"/>
                <w:i w:val="0"/>
                <w:caps w:val="0"/>
                <w:spacing w:val="0"/>
                <w:w w:val="100"/>
                <w:kern w:val="2"/>
                <w:sz w:val="21"/>
                <w:szCs w:val="21"/>
                <w:highlight w:val="none"/>
                <w:lang w:val="en-US" w:eastAsia="zh-CN" w:bidi="ar-SA"/>
              </w:rPr>
              <w:t>12*2</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9．煎药锅容量(ml)</w:t>
            </w:r>
            <w:r>
              <w:rPr>
                <w:rStyle w:val="54"/>
                <w:rFonts w:hint="eastAsia" w:ascii="仿宋" w:hAnsi="仿宋" w:eastAsia="仿宋" w:cs="仿宋"/>
                <w:b w:val="0"/>
                <w:i w:val="0"/>
                <w:caps w:val="0"/>
                <w:spacing w:val="0"/>
                <w:w w:val="100"/>
                <w:kern w:val="2"/>
                <w:sz w:val="21"/>
                <w:szCs w:val="21"/>
                <w:highlight w:val="none"/>
                <w:lang w:val="en-US" w:eastAsia="zh-CN" w:bidi="ar-SA"/>
              </w:rPr>
              <w:tab/>
            </w:r>
            <w:r>
              <w:rPr>
                <w:rStyle w:val="54"/>
                <w:rFonts w:hint="eastAsia" w:ascii="仿宋" w:hAnsi="仿宋" w:eastAsia="仿宋" w:cs="仿宋"/>
                <w:b w:val="0"/>
                <w:i w:val="0"/>
                <w:caps w:val="0"/>
                <w:spacing w:val="0"/>
                <w:w w:val="100"/>
                <w:kern w:val="2"/>
                <w:sz w:val="21"/>
                <w:szCs w:val="21"/>
                <w:highlight w:val="none"/>
                <w:lang w:val="en-US" w:eastAsia="zh-CN" w:bidi="ar-SA"/>
              </w:rPr>
              <w:t>20000*2</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10．煎药功率( W)</w:t>
            </w:r>
            <w:r>
              <w:rPr>
                <w:rStyle w:val="54"/>
                <w:rFonts w:hint="eastAsia" w:ascii="仿宋" w:hAnsi="仿宋" w:eastAsia="仿宋" w:cs="仿宋"/>
                <w:b w:val="0"/>
                <w:i w:val="0"/>
                <w:caps w:val="0"/>
                <w:spacing w:val="0"/>
                <w:w w:val="100"/>
                <w:kern w:val="2"/>
                <w:sz w:val="21"/>
                <w:szCs w:val="21"/>
                <w:highlight w:val="none"/>
                <w:lang w:val="en-US" w:eastAsia="zh-CN" w:bidi="ar-SA"/>
              </w:rPr>
              <w:tab/>
            </w:r>
            <w:r>
              <w:rPr>
                <w:rStyle w:val="54"/>
                <w:rFonts w:hint="eastAsia" w:ascii="仿宋" w:hAnsi="仿宋" w:eastAsia="仿宋" w:cs="仿宋"/>
                <w:b w:val="0"/>
                <w:i w:val="0"/>
                <w:caps w:val="0"/>
                <w:spacing w:val="0"/>
                <w:w w:val="100"/>
                <w:kern w:val="2"/>
                <w:sz w:val="21"/>
                <w:szCs w:val="21"/>
                <w:highlight w:val="none"/>
                <w:lang w:val="en-US" w:eastAsia="zh-CN" w:bidi="ar-SA"/>
              </w:rPr>
              <w:t>1600*2</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11.包装功率：800W</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12.电压：AC220V</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13.包装量：70-260ML以不高于5ML为变量可调</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14.包装横封温度、纵封温度、包装量自动显示</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15.封合温度数字化控制，可以设定自动恒定</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16.包装平均速度不小于9袋/分</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Style w:val="54"/>
                <w:rFonts w:hint="eastAsia" w:ascii="仿宋" w:hAnsi="仿宋" w:eastAsia="仿宋" w:cs="仿宋"/>
                <w:b w:val="0"/>
                <w:i w:val="0"/>
                <w:caps w:val="0"/>
                <w:spacing w:val="0"/>
                <w:w w:val="100"/>
                <w:kern w:val="2"/>
                <w:sz w:val="21"/>
                <w:szCs w:val="21"/>
                <w:highlight w:val="none"/>
                <w:lang w:val="en-US" w:eastAsia="zh-CN" w:bidi="ar-SA"/>
              </w:rPr>
            </w:pPr>
            <w:r>
              <w:rPr>
                <w:rStyle w:val="54"/>
                <w:rFonts w:hint="eastAsia" w:ascii="仿宋" w:hAnsi="仿宋" w:eastAsia="仿宋" w:cs="仿宋"/>
                <w:b w:val="0"/>
                <w:i w:val="0"/>
                <w:caps w:val="0"/>
                <w:spacing w:val="0"/>
                <w:w w:val="100"/>
                <w:kern w:val="2"/>
                <w:sz w:val="21"/>
                <w:szCs w:val="21"/>
                <w:highlight w:val="none"/>
                <w:lang w:val="en-US" w:eastAsia="zh-CN" w:bidi="ar-SA"/>
              </w:rPr>
              <w:t>17．整机重量（㎏）</w:t>
            </w:r>
            <w:r>
              <w:rPr>
                <w:rStyle w:val="54"/>
                <w:rFonts w:hint="eastAsia" w:ascii="仿宋" w:hAnsi="仿宋" w:eastAsia="仿宋" w:cs="仿宋"/>
                <w:b w:val="0"/>
                <w:i w:val="0"/>
                <w:caps w:val="0"/>
                <w:spacing w:val="0"/>
                <w:w w:val="100"/>
                <w:kern w:val="2"/>
                <w:sz w:val="21"/>
                <w:szCs w:val="21"/>
                <w:highlight w:val="none"/>
                <w:lang w:val="en-US" w:eastAsia="zh-CN" w:bidi="ar-SA"/>
              </w:rPr>
              <w:tab/>
            </w:r>
            <w:r>
              <w:rPr>
                <w:rStyle w:val="54"/>
                <w:rFonts w:hint="eastAsia" w:ascii="仿宋" w:hAnsi="仿宋" w:eastAsia="仿宋" w:cs="仿宋"/>
                <w:b w:val="0"/>
                <w:i w:val="0"/>
                <w:caps w:val="0"/>
                <w:spacing w:val="0"/>
                <w:w w:val="100"/>
                <w:kern w:val="2"/>
                <w:sz w:val="21"/>
                <w:szCs w:val="21"/>
                <w:highlight w:val="none"/>
                <w:lang w:val="en-US" w:eastAsia="zh-CN" w:bidi="ar-SA"/>
              </w:rPr>
              <w:t>105</w:t>
            </w:r>
          </w:p>
          <w:p>
            <w:pPr>
              <w:keepNext w:val="0"/>
              <w:keepLines w:val="0"/>
              <w:pageBreakBefore w:val="0"/>
              <w:kinsoku/>
              <w:wordWrap/>
              <w:overflowPunct/>
              <w:topLinePunct w:val="0"/>
              <w:autoSpaceDE/>
              <w:autoSpaceDN/>
              <w:bidi w:val="0"/>
              <w:adjustRightInd/>
              <w:snapToGrid/>
              <w:spacing w:before="0" w:beforeAutospacing="0" w:after="0" w:afterAutospacing="0" w:line="360" w:lineRule="exact"/>
              <w:jc w:val="both"/>
              <w:textAlignment w:val="baseline"/>
              <w:rPr>
                <w:rFonts w:hint="eastAsia" w:ascii="仿宋" w:hAnsi="仿宋" w:eastAsia="仿宋" w:cs="仿宋"/>
                <w:i w:val="0"/>
                <w:iCs w:val="0"/>
                <w:color w:val="000000"/>
                <w:sz w:val="21"/>
                <w:szCs w:val="21"/>
                <w:highlight w:val="none"/>
                <w:u w:val="none"/>
              </w:rPr>
            </w:pPr>
            <w:r>
              <w:rPr>
                <w:rStyle w:val="54"/>
                <w:rFonts w:hint="eastAsia" w:ascii="仿宋" w:hAnsi="仿宋" w:eastAsia="仿宋" w:cs="仿宋"/>
                <w:b w:val="0"/>
                <w:i w:val="0"/>
                <w:caps w:val="0"/>
                <w:spacing w:val="0"/>
                <w:w w:val="100"/>
                <w:kern w:val="2"/>
                <w:sz w:val="21"/>
                <w:szCs w:val="21"/>
                <w:highlight w:val="none"/>
                <w:lang w:val="en-US" w:eastAsia="zh-CN" w:bidi="ar-SA"/>
              </w:rPr>
              <w:t>18．外形尺寸(㎜): （长850×宽500×高1230)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光明1台、新城1台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12</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盆腔治疗仪</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1.腔内治疗头工作性能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 脉冲频率：1000Hz±150Hz；</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 最大脉冲电压（峰峰值）：100V±20V；</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 电压调节方式：20 级，分级可调；</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1.4 工作表面最高温度：38℃～40℃；</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 温度调节方式：16 级，从环境温度到工作表面最高温度，分级可调。</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 腹部治疗垫工作性能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2.1 工作表面最高温度：42℃～45℃；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2.2 温度调节方式：9 级，从环境温度到工作表面最高温度，分级可调。</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3 光治疗头工作性能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 最大光功率：12W±15%；</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3.2 功率调节方式：0～10 档，每档步进 1；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3.3 定时器计时范围：0～99min,计时误差：≤±1%。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4 高频电灼器工作性能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4.1 频率：0.33MHz±0.02MHz；</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4.2 输出功率：10W±2W；</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4.3 功率调节方式：0.5W～10W，连续可调。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 电磁兼容 应符合 YY 0505-2012 的要求。</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光明1台、幸福1台、新城1台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13</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中药雾化吸入机</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技术参数</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1.1电源电压：AC220V±10% 50HZ，电源开关加防水罩</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1.2频率：1.7MHZ±10%</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1.3雾化量：＞2ML/MIN</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1.4缺水保护功能</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1.5水槽有外置排水管子有快速排水功能，</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1.6雾化器时间设定：连续0～60min定时</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1.7特设加液口盖，便于治疗时药液的补给；</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1.8送风系统拆装清洁简易：定期清洁雾化器送风系统，可有效防止医疗机构多人使用时病菌的交叉感染，并延长雾化器的使用寿命</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1.9科学的水电隔离设计：特制的排水缺口能将回流到送风系统中的药液迅速排出，有效防止了药液内渗腐蚀机器线路系统</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1.10单一药杯设计，雾化时操作简单、方便</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光明2台、幸福2台、新城1台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14</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牵引床</w:t>
            </w:r>
            <w:r>
              <w:rPr>
                <w:rFonts w:hint="eastAsia" w:ascii="仿宋" w:hAnsi="仿宋" w:eastAsia="仿宋" w:cs="仿宋"/>
                <w:i w:val="0"/>
                <w:iCs w:val="0"/>
                <w:color w:val="000000"/>
                <w:sz w:val="21"/>
                <w:szCs w:val="21"/>
                <w:highlight w:val="none"/>
                <w:u w:val="none"/>
              </w:rPr>
              <w:tab/>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技术参数：   </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1、电源：220V±22V   50Hz±1Hz</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2、额定输入功率：80VA  </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3、腰椎牵引力：0～990N范围内分档显示，牵引力允差范围：牵引力不大于200N时，允差：±10％或±10N取大值；牵引力大于200N时，允差：±20％或±50N取小值</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4、腰椎牵引行程：0～200mm，允差±10mm</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5、颈椎牵引力：0～200N，牵引力允差范围：牵引力不大于200N时，允差：±10％或±10N取大值；牵引力大于200N时，允差：±20％或±50N取小值</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6、颈椎牵引行程：0～300mm,允差±10mm</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7、腰部热疗温度：≤50℃,允差±3℃</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8、双机双人电动牵引颈椎或腰椎，可以同时进行颈腰椎牵引，互不影响；</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9、颈椎牵引采用管形测力计显示拉力，腰椎牵引采用数码管显示牵引拉力；</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10、独有腰部热疗功能，集中医外治的热疗法及牵引法与一体；</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  11、配有应急复位线控手柄开关，牵引时可随时解除牵引力，并恢复到初始状态；</w:t>
            </w:r>
          </w:p>
          <w:p>
            <w:pPr>
              <w:ind w:firstLine="215" w:firstLineChars="100"/>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、入选国家中医药管理局中医诊疗设备推荐产品目录</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3张</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光明2张、新城1张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15</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中药熏蒸调理舱</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1.电源电压：交流电压220V，频率50Hz。</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2.额定输入功率：1500W。</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3.床体尺寸：长2010mm，宽720mm，高1070mm，允差±10%。</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4.操作台尺寸：长460mm，宽370mm，高860mm，允差±10%。</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5.治疗机温度：可在1～99℃范围设定，室温～45℃为熏蒸温度，步进1℃，允差为±5℃，46～99℃为煎药温度。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6.治疗机治疗时间控制：治疗总时间可在1～99min内设定，允差±30s，治疗时间达到设定时间时，有蜂鸣提示音，加热装置自动断电。</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7.最大加液量：5L。</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8.中药药液雾化功能：单区雾化量大于40mL/h。</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9.运行模式：连续运行。</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10.自动控温：出汽口处水蒸汽温度达到设定值时，加热管自动断电，使水温降低，水蒸汽温度低于设定值时，加热管自动加热，使水温升高。</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11.熏蒸加热区为三区，加热方式为厚膜管状加热器，上水方式为自动。三温区温度独立控制调节，同时使用三温区熏蒸时，可根据不同熏蒸部位针对温度耐受不同而设置不同的温度，使熏蒸时更加舒适有效。</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双重超温保护功能：治疗机超过工作温度设定值时，第一路保护装置应启动，停止加热。当温度降低到设定值以下后可以恢复加热。如果第一路保护装置失效造成患者皮肤温度升高至50℃时，第二路保护装置应立即启动，切断电源。</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13.熏蒸面积：1530mm*340mm，根据人体工程学，11块熏蒸垫可任意组合；</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14.自动吹送蒸汽，可均匀中药蒸汽温度，确保湿度恒定；</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15.独特的多风道设计，确保每区熏蒸温度恒定、舒适；</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16.治疗机防干烧装置：当药液加热器无液体时，不能加热，并有提示信息。</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17.独立的操作控制台，机电分离式设计，单独停止加热按钮。</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18.臭氧消毒功能：a.开启臭氧消毒功能10min，臭氧浓度应不低于40mg/m³；b.正常工作是臭氧气体外泄露量应不大于0.16mg/m³。</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19.亚克力材质全身式熏蒸罩；</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20.蒸汽凝水回收床体内干爽；</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21.亚克力床体，耐腐蚀，蒸汽部分采用食品级材料；</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22.中药药液雾化功能，使蒸汽携药能力大大增强，真正充分发挥温度、药度、湿度、中药离子渗疗的熏蒸治疗效果；</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23.国家中医药管理局中医诊疗设备推荐产品</w:t>
            </w:r>
          </w:p>
          <w:p>
            <w:pPr>
              <w:jc w:val="center"/>
              <w:rPr>
                <w:rFonts w:hint="eastAsia" w:ascii="仿宋" w:hAnsi="仿宋" w:eastAsia="仿宋" w:cs="仿宋"/>
                <w:i w:val="0"/>
                <w:iCs w:val="0"/>
                <w:color w:val="000000"/>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16</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玉疗床</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床体木材：樟松木，内侧桑拿板升级新一代，传输热能快效率高</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加热板：18个多点式石墨烯远红外加热板多点式发热，18个过热保护器</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温控系统：德国曼瑞德技术系统（全新一代升级改良款智能恒温，系统更便捷，操作更方便）</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保温阻燃：航空级防高温，A级阻燃保温材料</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漏电保护器：有</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功率：1800W</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电压：220V</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1.樟松木盐疗床体1台</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2、1吨天然五彩玉石</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3、10套医用级沙疗服</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4、1个沙瓢勺</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5、1套高端盐疗床罩</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6、1张保温能量竹席</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7、1把挖沙神器</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8、两幅店面装饰广告牌</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9、一次性内裤60条</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10、床体盖板5块</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11、床体螺栓（若干）</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12、电源线1根</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sz w:val="21"/>
                <w:szCs w:val="21"/>
                <w:highlight w:val="none"/>
                <w:lang w:val="en-US" w:eastAsia="zh-CN"/>
              </w:rPr>
            </w:pPr>
          </w:p>
          <w:p>
            <w:pPr>
              <w:pStyle w:val="2"/>
              <w:numPr>
                <w:ilvl w:val="0"/>
                <w:numId w:val="0"/>
              </w:numPr>
              <w:ind w:leftChars="0" w:right="0" w:rightChars="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17</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盐疗床</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床体参数：</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床体木材：樟松木，内侧桑拿板升级新一代，传输热能快效率高</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加热板：18个多点式石墨烯远红外加热板多点式发热，18个过热保护器</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温控系统：德国曼瑞德技术系统（全新一代升级改良款智能恒温，系统更便捷，操作更方便）</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保温阻燃：航空级防高温，A级阻燃保温材料</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漏电保护器：有</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功率：1800W</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电压：220V</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1.樟松木盐疗床体1台</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2、800公斤盐石</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3、10套医用级沙疗服</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4、1个沙瓢勺</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5、1套高端盐疗床罩</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6、1张保温能量竹席</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7、1把挖沙神器</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8、两幅店面装饰广告牌</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9、一次性内裤60条</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10、床体盖板5块</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11、床体螺栓（若干）</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12、电源线1根</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numPr>
                <w:ilvl w:val="0"/>
                <w:numId w:val="0"/>
              </w:numPr>
              <w:ind w:leftChars="0" w:right="0" w:rightChars="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18</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沙疗床</w:t>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床体参数：</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床体木材：樟松木，内侧桑拿板升级新一代，传输热能快效率高</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加热板：18个多点式石墨烯远红外加热板多点式发热，18个过热保护器</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温控系统：德国曼瑞德技术系统（全新一代升级改良款智能恒温，系统更便捷，操作更方便）</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保温阻燃：航空级防高温，A级阻燃保温材料</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漏电保护器：有</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功率：1800W</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电压：220V</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1.樟松木盐疗床体1台</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2、1吨新疆大漠沙</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3、10套医用级沙疗服</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4、1个沙瓢勺</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5、1套高端盐疗床罩</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6、1张保温能量竹席</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7、1把挖沙神器</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8、两幅店面装饰广告牌</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9、一次性内裤60条</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10、床体盖板5块</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11、床体螺栓（若干）</w:t>
            </w:r>
          </w:p>
          <w:p>
            <w:pPr>
              <w:jc w:val="left"/>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sz w:val="21"/>
                <w:szCs w:val="21"/>
                <w:highlight w:val="none"/>
                <w:u w:val="none"/>
              </w:rPr>
              <w:t>12、电源线1根</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numPr>
                <w:ilvl w:val="0"/>
                <w:numId w:val="0"/>
              </w:numPr>
              <w:ind w:leftChars="0" w:right="0" w:rightChars="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19</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微波治疗仪</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主要技术参数和特点：</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1.理疗功能：连续输出</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2.电源适应范围：AC：电压220V±10%   频率：50Hz±5%</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3.输出功率：    理疗0-60W，治疗0-100W；</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4.时间控制：    治疗时：0—99秒，以1秒步进；</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                理疗时：0—30分，以1分步进；</w:t>
            </w:r>
            <w:r>
              <w:rPr>
                <w:rFonts w:hint="eastAsia" w:ascii="仿宋" w:hAnsi="仿宋" w:eastAsia="仿宋" w:cs="仿宋"/>
                <w:i w:val="0"/>
                <w:iCs w:val="0"/>
                <w:color w:val="000000"/>
                <w:sz w:val="21"/>
                <w:szCs w:val="21"/>
                <w:highlight w:val="none"/>
                <w:u w:val="none"/>
              </w:rPr>
              <w:tab/>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以上范围内可调；且二者都有报警声响提示；</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5.微波频率： 2450MHz±50 MHz；</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6.整机功率： 580W；</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7.辐射器驻波比： S≤3；</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8.传输线驻波比： S≤1.5；</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9.外壳泄露： ≤10mw/cm²；</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10.无用辐射： ≤10mw/cm²；</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11.具有误操作、过载、温控保护功能，确保安全；</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12．开关控制：由微电脑控制，具有手动与脚踏两种控制模式。</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numPr>
                <w:ilvl w:val="0"/>
                <w:numId w:val="0"/>
              </w:numPr>
              <w:ind w:leftChars="0" w:right="0" w:rightChars="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20</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妇科治疗床</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keepNext w:val="0"/>
              <w:keepLines w:val="0"/>
              <w:pageBreakBefore w:val="0"/>
              <w:numPr>
                <w:ilvl w:val="0"/>
                <w:numId w:val="0"/>
              </w:numPr>
              <w:kinsoku/>
              <w:wordWrap/>
              <w:overflowPunct/>
              <w:topLinePunct w:val="0"/>
              <w:autoSpaceDE/>
              <w:autoSpaceDN/>
              <w:bidi w:val="0"/>
              <w:adjustRightInd/>
              <w:spacing w:line="360" w:lineRule="exact"/>
              <w:ind w:leftChars="0" w:right="0" w:rightChars="0"/>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1</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床面长度及宽度</w:t>
            </w:r>
            <w:r>
              <w:rPr>
                <w:rFonts w:hint="eastAsia" w:ascii="仿宋" w:hAnsi="仿宋" w:eastAsia="仿宋" w:cs="仿宋"/>
                <w:b w:val="0"/>
                <w:bCs/>
                <w:sz w:val="21"/>
                <w:szCs w:val="21"/>
                <w:highlight w:val="none"/>
                <w:lang w:val="en-US" w:eastAsia="zh-CN"/>
              </w:rPr>
              <w:t>：</w:t>
            </w:r>
            <w:r>
              <w:rPr>
                <w:rFonts w:hint="eastAsia" w:ascii="仿宋" w:hAnsi="仿宋" w:eastAsia="仿宋" w:cs="仿宋"/>
                <w:b w:val="0"/>
                <w:bCs/>
                <w:sz w:val="21"/>
                <w:szCs w:val="21"/>
                <w:highlight w:val="none"/>
              </w:rPr>
              <w:t>1240mm*600mm</w:t>
            </w:r>
          </w:p>
          <w:p>
            <w:pPr>
              <w:pStyle w:val="2"/>
              <w:keepNext w:val="0"/>
              <w:keepLines w:val="0"/>
              <w:pageBreakBefore w:val="0"/>
              <w:numPr>
                <w:ilvl w:val="0"/>
                <w:numId w:val="0"/>
              </w:numPr>
              <w:kinsoku/>
              <w:wordWrap/>
              <w:overflowPunct/>
              <w:topLinePunct w:val="0"/>
              <w:autoSpaceDE/>
              <w:autoSpaceDN/>
              <w:bidi w:val="0"/>
              <w:adjustRightInd/>
              <w:spacing w:line="360" w:lineRule="exact"/>
              <w:ind w:leftChars="0" w:right="0" w:rightChars="0"/>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2</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床面最低及最高高度</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740mm-1000mm</w:t>
            </w:r>
          </w:p>
          <w:p>
            <w:pPr>
              <w:pStyle w:val="2"/>
              <w:keepNext w:val="0"/>
              <w:keepLines w:val="0"/>
              <w:pageBreakBefore w:val="0"/>
              <w:numPr>
                <w:ilvl w:val="0"/>
                <w:numId w:val="0"/>
              </w:numPr>
              <w:kinsoku/>
              <w:wordWrap/>
              <w:overflowPunct/>
              <w:topLinePunct w:val="0"/>
              <w:autoSpaceDE/>
              <w:autoSpaceDN/>
              <w:bidi w:val="0"/>
              <w:adjustRightInd/>
              <w:spacing w:line="360" w:lineRule="exact"/>
              <w:ind w:leftChars="0" w:right="0" w:rightChars="0"/>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3</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床面前后倾角度</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前倾≥10°后倾≥25°</w:t>
            </w:r>
          </w:p>
          <w:p>
            <w:pPr>
              <w:pStyle w:val="2"/>
              <w:keepNext w:val="0"/>
              <w:keepLines w:val="0"/>
              <w:pageBreakBefore w:val="0"/>
              <w:numPr>
                <w:ilvl w:val="0"/>
                <w:numId w:val="0"/>
              </w:numPr>
              <w:kinsoku/>
              <w:wordWrap/>
              <w:overflowPunct/>
              <w:topLinePunct w:val="0"/>
              <w:autoSpaceDE/>
              <w:autoSpaceDN/>
              <w:bidi w:val="0"/>
              <w:adjustRightInd/>
              <w:spacing w:line="360" w:lineRule="exact"/>
              <w:ind w:leftChars="0" w:right="0" w:rightChars="0"/>
              <w:rPr>
                <w:rFonts w:hint="eastAsia" w:ascii="仿宋" w:hAnsi="仿宋" w:eastAsia="仿宋" w:cs="仿宋"/>
                <w:b w:val="0"/>
                <w:bCs/>
                <w:sz w:val="21"/>
                <w:szCs w:val="21"/>
                <w:highlight w:val="none"/>
              </w:rPr>
            </w:pPr>
            <w:r>
              <w:rPr>
                <w:rFonts w:hint="eastAsia" w:ascii="仿宋" w:hAnsi="仿宋" w:eastAsia="仿宋" w:cs="仿宋"/>
                <w:b w:val="0"/>
                <w:bCs/>
                <w:sz w:val="21"/>
                <w:szCs w:val="21"/>
                <w:highlight w:val="none"/>
              </w:rPr>
              <w:t>4</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背板折转角度</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上折≥75  下折≥10°</w:t>
            </w:r>
          </w:p>
          <w:p>
            <w:pPr>
              <w:pStyle w:val="2"/>
              <w:keepNext w:val="0"/>
              <w:keepLines w:val="0"/>
              <w:pageBreakBefore w:val="0"/>
              <w:numPr>
                <w:ilvl w:val="0"/>
                <w:numId w:val="0"/>
              </w:numPr>
              <w:kinsoku/>
              <w:wordWrap/>
              <w:overflowPunct/>
              <w:topLinePunct w:val="0"/>
              <w:autoSpaceDE/>
              <w:autoSpaceDN/>
              <w:bidi w:val="0"/>
              <w:adjustRightInd/>
              <w:spacing w:line="360" w:lineRule="exact"/>
              <w:ind w:leftChars="0" w:right="0" w:rightChars="0"/>
              <w:rPr>
                <w:rFonts w:hint="eastAsia" w:ascii="仿宋" w:hAnsi="仿宋" w:eastAsia="仿宋" w:cs="仿宋"/>
                <w:i w:val="0"/>
                <w:iCs w:val="0"/>
                <w:color w:val="000000"/>
                <w:sz w:val="21"/>
                <w:szCs w:val="21"/>
                <w:highlight w:val="none"/>
                <w:u w:val="none"/>
              </w:rPr>
            </w:pPr>
            <w:r>
              <w:rPr>
                <w:rFonts w:hint="eastAsia" w:ascii="仿宋" w:hAnsi="仿宋" w:eastAsia="仿宋" w:cs="仿宋"/>
                <w:b w:val="0"/>
                <w:bCs/>
                <w:sz w:val="21"/>
                <w:szCs w:val="21"/>
                <w:highlight w:val="none"/>
              </w:rPr>
              <w:t>5</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电源</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rPr>
              <w:t>AC220V 50Hz</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numPr>
                <w:ilvl w:val="0"/>
                <w:numId w:val="0"/>
              </w:numPr>
              <w:ind w:leftChars="0" w:right="0" w:rightChars="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21</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3D远红外养生仪</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keepNext w:val="0"/>
              <w:keepLines w:val="0"/>
              <w:pageBreakBefore w:val="0"/>
              <w:numPr>
                <w:ilvl w:val="0"/>
                <w:numId w:val="0"/>
              </w:numPr>
              <w:tabs>
                <w:tab w:val="left" w:pos="780"/>
              </w:tabs>
              <w:kinsoku/>
              <w:wordWrap/>
              <w:overflowPunct/>
              <w:topLinePunct w:val="0"/>
              <w:autoSpaceDE/>
              <w:autoSpaceDN/>
              <w:bidi w:val="0"/>
              <w:adjustRightInd/>
              <w:spacing w:line="360" w:lineRule="exact"/>
              <w:ind w:leftChars="0" w:right="0" w:rightChars="0"/>
              <w:rPr>
                <w:rFonts w:hint="eastAsia" w:ascii="仿宋" w:hAnsi="仿宋" w:eastAsia="仿宋" w:cs="仿宋"/>
                <w:b w:val="0"/>
                <w:bCs/>
                <w:sz w:val="21"/>
                <w:szCs w:val="21"/>
                <w:highlight w:val="none"/>
                <w:lang w:val="en-US" w:eastAsia="zh-CN"/>
              </w:rPr>
            </w:pPr>
            <w:r>
              <w:rPr>
                <w:rFonts w:hint="eastAsia" w:ascii="仿宋" w:hAnsi="仿宋" w:eastAsia="仿宋" w:cs="仿宋"/>
                <w:b w:val="0"/>
                <w:bCs/>
                <w:sz w:val="21"/>
                <w:szCs w:val="21"/>
                <w:highlight w:val="none"/>
              </w:rPr>
              <w:t>1</w:t>
            </w:r>
            <w:r>
              <w:rPr>
                <w:rFonts w:hint="eastAsia" w:ascii="仿宋" w:hAnsi="仿宋" w:eastAsia="仿宋" w:cs="仿宋"/>
                <w:b w:val="0"/>
                <w:bCs/>
                <w:sz w:val="21"/>
                <w:szCs w:val="21"/>
                <w:highlight w:val="none"/>
                <w:lang w:eastAsia="zh-CN"/>
              </w:rPr>
              <w:t>、</w:t>
            </w:r>
            <w:r>
              <w:rPr>
                <w:rFonts w:hint="eastAsia" w:ascii="仿宋" w:hAnsi="仿宋" w:eastAsia="仿宋" w:cs="仿宋"/>
                <w:b w:val="0"/>
                <w:bCs/>
                <w:sz w:val="21"/>
                <w:szCs w:val="21"/>
                <w:highlight w:val="none"/>
                <w:lang w:val="en-US" w:eastAsia="zh-CN"/>
              </w:rPr>
              <w:t>电源：220V/50Hz</w:t>
            </w:r>
          </w:p>
          <w:p>
            <w:pPr>
              <w:pStyle w:val="2"/>
              <w:keepNext w:val="0"/>
              <w:keepLines w:val="0"/>
              <w:pageBreakBefore w:val="0"/>
              <w:numPr>
                <w:ilvl w:val="0"/>
                <w:numId w:val="0"/>
              </w:numPr>
              <w:tabs>
                <w:tab w:val="left" w:pos="780"/>
              </w:tabs>
              <w:kinsoku/>
              <w:wordWrap/>
              <w:overflowPunct/>
              <w:topLinePunct w:val="0"/>
              <w:autoSpaceDE/>
              <w:autoSpaceDN/>
              <w:bidi w:val="0"/>
              <w:adjustRightInd/>
              <w:spacing w:line="360" w:lineRule="exact"/>
              <w:ind w:leftChars="0" w:right="0" w:rightChars="0"/>
              <w:rPr>
                <w:rFonts w:hint="eastAsia" w:ascii="仿宋" w:hAnsi="仿宋" w:eastAsia="仿宋" w:cs="仿宋"/>
                <w:b w:val="0"/>
                <w:bCs/>
                <w:sz w:val="21"/>
                <w:szCs w:val="21"/>
                <w:highlight w:val="none"/>
                <w:lang w:val="en-US" w:eastAsia="zh-CN"/>
              </w:rPr>
            </w:pPr>
            <w:r>
              <w:rPr>
                <w:rFonts w:hint="eastAsia" w:ascii="仿宋" w:hAnsi="仿宋" w:eastAsia="仿宋" w:cs="仿宋"/>
                <w:b w:val="0"/>
                <w:bCs/>
                <w:sz w:val="21"/>
                <w:szCs w:val="21"/>
                <w:highlight w:val="none"/>
                <w:lang w:val="en-US" w:eastAsia="zh-CN"/>
              </w:rPr>
              <w:t>2、温度控制35—85℃</w:t>
            </w:r>
          </w:p>
          <w:p>
            <w:pPr>
              <w:pStyle w:val="2"/>
              <w:keepNext w:val="0"/>
              <w:keepLines w:val="0"/>
              <w:pageBreakBefore w:val="0"/>
              <w:numPr>
                <w:ilvl w:val="0"/>
                <w:numId w:val="0"/>
              </w:numPr>
              <w:tabs>
                <w:tab w:val="left" w:pos="780"/>
              </w:tabs>
              <w:kinsoku/>
              <w:wordWrap/>
              <w:overflowPunct/>
              <w:topLinePunct w:val="0"/>
              <w:autoSpaceDE/>
              <w:autoSpaceDN/>
              <w:bidi w:val="0"/>
              <w:adjustRightInd/>
              <w:spacing w:line="360" w:lineRule="exact"/>
              <w:ind w:leftChars="0" w:right="0" w:rightChars="0"/>
              <w:rPr>
                <w:rFonts w:hint="eastAsia" w:ascii="仿宋" w:hAnsi="仿宋" w:eastAsia="仿宋" w:cs="仿宋"/>
                <w:b w:val="0"/>
                <w:bCs/>
                <w:sz w:val="21"/>
                <w:szCs w:val="21"/>
                <w:highlight w:val="none"/>
                <w:lang w:val="en-US" w:eastAsia="zh-CN"/>
              </w:rPr>
            </w:pPr>
            <w:r>
              <w:rPr>
                <w:rFonts w:hint="eastAsia" w:ascii="仿宋" w:hAnsi="仿宋" w:eastAsia="仿宋" w:cs="仿宋"/>
                <w:b w:val="0"/>
                <w:bCs/>
                <w:sz w:val="21"/>
                <w:szCs w:val="21"/>
                <w:highlight w:val="none"/>
                <w:lang w:val="en-US" w:eastAsia="zh-CN"/>
              </w:rPr>
              <w:t>3、辐射面温度70℃</w:t>
            </w:r>
          </w:p>
          <w:p>
            <w:pPr>
              <w:pStyle w:val="2"/>
              <w:keepNext w:val="0"/>
              <w:keepLines w:val="0"/>
              <w:pageBreakBefore w:val="0"/>
              <w:numPr>
                <w:ilvl w:val="0"/>
                <w:numId w:val="0"/>
              </w:numPr>
              <w:tabs>
                <w:tab w:val="left" w:pos="780"/>
              </w:tabs>
              <w:kinsoku/>
              <w:wordWrap/>
              <w:overflowPunct/>
              <w:topLinePunct w:val="0"/>
              <w:autoSpaceDE/>
              <w:autoSpaceDN/>
              <w:bidi w:val="0"/>
              <w:adjustRightInd/>
              <w:spacing w:line="360" w:lineRule="exact"/>
              <w:ind w:leftChars="0" w:right="0" w:rightChars="0"/>
              <w:rPr>
                <w:rFonts w:hint="eastAsia" w:ascii="仿宋" w:hAnsi="仿宋" w:eastAsia="仿宋" w:cs="仿宋"/>
                <w:i w:val="0"/>
                <w:iCs w:val="0"/>
                <w:color w:val="000000"/>
                <w:sz w:val="21"/>
                <w:szCs w:val="21"/>
                <w:highlight w:val="none"/>
                <w:u w:val="none"/>
              </w:rPr>
            </w:pPr>
            <w:r>
              <w:rPr>
                <w:rFonts w:hint="eastAsia" w:ascii="仿宋" w:hAnsi="仿宋" w:eastAsia="仿宋" w:cs="仿宋"/>
                <w:b w:val="0"/>
                <w:bCs/>
                <w:sz w:val="21"/>
                <w:szCs w:val="21"/>
                <w:highlight w:val="none"/>
                <w:lang w:val="en-US" w:eastAsia="zh-CN"/>
              </w:rPr>
              <w:t>4、计时器5-60分钟</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
              <w:numPr>
                <w:ilvl w:val="0"/>
                <w:numId w:val="0"/>
              </w:numPr>
              <w:ind w:leftChars="0" w:right="0" w:rightChars="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22</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养生仪</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1、产品功率：3000W</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2、产品材质：主机ABS</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3、工作时长：可连续使用</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4、液晶显示屏，数据一目了然</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5、便捷旋钮按键：预设时间智能模式，操作简单</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23</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石熏烯量子太空舱</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1、产品材质：亚克力材质</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2、产品功率：1600W</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3、恒温熏蒸</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4、智能系统</w:t>
            </w:r>
          </w:p>
          <w:p>
            <w:pPr>
              <w:keepNext w:val="0"/>
              <w:keepLines w:val="0"/>
              <w:pageBreakBefore w:val="0"/>
              <w:kinsoku/>
              <w:wordWrap/>
              <w:overflowPunct/>
              <w:topLinePunct w:val="0"/>
              <w:autoSpaceDE/>
              <w:autoSpaceDN/>
              <w:bidi w:val="0"/>
              <w:adjustRightInd/>
              <w:spacing w:line="360" w:lineRule="exact"/>
              <w:rPr>
                <w:rFonts w:hint="eastAsia" w:ascii="仿宋" w:hAnsi="仿宋" w:eastAsia="仿宋" w:cs="仿宋"/>
                <w:i w:val="0"/>
                <w:iCs w:val="0"/>
                <w:color w:val="000000"/>
                <w:sz w:val="21"/>
                <w:szCs w:val="21"/>
                <w:highlight w:val="none"/>
                <w:u w:val="none"/>
              </w:rPr>
            </w:pPr>
            <w:r>
              <w:rPr>
                <w:rFonts w:hint="eastAsia" w:ascii="仿宋" w:hAnsi="仿宋" w:eastAsia="仿宋" w:cs="仿宋"/>
                <w:sz w:val="21"/>
                <w:szCs w:val="21"/>
                <w:highlight w:val="none"/>
                <w:lang w:val="en-US" w:eastAsia="zh-CN"/>
              </w:rPr>
              <w:t>5、臭氧杀菌</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24</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TDP(特定电磁波治疗器)</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1、产品样式： 立式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2、结构特点： 立柱带升降 电源开关 UL认证定时器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3、计时方式： 机械定时（0-60分钟及常通）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4、调温方式： 无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5、适用场所： 医院、诊所及其它事宜场所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6、技术参数： 电压V、功率W、频率Hz 220、250、50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7、光谱波光 μ M 2~21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8、辐射板直径mm 166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9、活动臂升缩范围mm 0~500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10、活动臂升降范围mm 0~600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11、升降杆升降范围mm 300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12、仰视角（度） 270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13、转角（度） 360 </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25</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足疗仪</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pacing w:line="360" w:lineRule="exact"/>
              <w:jc w:val="both"/>
              <w:rPr>
                <w:rFonts w:hint="eastAsia" w:ascii="仿宋" w:hAnsi="仿宋" w:eastAsia="仿宋" w:cs="仿宋"/>
                <w:i w:val="0"/>
                <w:iCs w:val="0"/>
                <w:color w:val="000000"/>
                <w:sz w:val="21"/>
                <w:szCs w:val="21"/>
                <w:highlight w:val="none"/>
                <w:u w:val="none"/>
              </w:rPr>
            </w:pPr>
            <w:r>
              <w:rPr>
                <w:rFonts w:hint="eastAsia" w:ascii="仿宋" w:hAnsi="仿宋" w:eastAsia="仿宋" w:cs="仿宋"/>
                <w:sz w:val="21"/>
                <w:szCs w:val="21"/>
                <w:highlight w:val="none"/>
              </w:rPr>
              <w:t>材质香杉木、70公分*42带盖、熏蒸机1</w:t>
            </w:r>
            <w:r>
              <w:rPr>
                <w:rFonts w:hint="eastAsia" w:ascii="仿宋" w:hAnsi="仿宋" w:eastAsia="仿宋" w:cs="仿宋"/>
                <w:sz w:val="21"/>
                <w:szCs w:val="21"/>
                <w:highlight w:val="none"/>
                <w:lang w:val="en-US" w:eastAsia="zh-CN"/>
              </w:rPr>
              <w:t>0</w:t>
            </w:r>
            <w:r>
              <w:rPr>
                <w:rFonts w:hint="eastAsia" w:ascii="仿宋" w:hAnsi="仿宋" w:eastAsia="仿宋" w:cs="仿宋"/>
                <w:sz w:val="21"/>
                <w:szCs w:val="21"/>
                <w:highlight w:val="none"/>
              </w:rPr>
              <w:t>00W</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5台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幸福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26</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病床配套</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一、手动双摇病床</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1、产品外形尺寸：长:2050mm、宽:960mm、高:500mm。</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    背部倾斜：0°-75°腿部倾斜角度：0～35°可任意调节</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2、产品材料：床体采用优质冷轧碳素钢管80×40×1.0mm，床腿为优质冷轧碳素钢管40×40×1.0mm。    床面板以优质条形板焊接成型，提高床板强度，受力均衡，抗压力强；下面焊接钢管加强，坚实耐用。</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 床体静态可承载250Kg；背部床面采用双支撑结构，双支撑为冷钢板冲压成形，加强背板的承重力，摇杆承受压力小，摇动时操作省力。</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4、两组摇杆；不锈钢把手，隐藏式设计，使操作一目了然。摇杆全不锈钢设计，牢固灵活，无噪音，操作轻松自如；可灵活调节患者背。外套ABS塑料防尘套，外形美观、耐磨、使用寿命长。</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 侧面护栏总长1200mm，D型铝合金扶手，表面硬化处理，五支铝合金支柱，上下连接件采用一次冲压成形钢件，厚度3.0mm，开关精心设计确保长期使用的安全性，配有防松紧固件，耐磨，不变形，可收缩平放，收缩时略高于床面，可防止床垫移位。</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 流线型床头尾板采用ABS强化塑胶材料，一次成形，无缝隙，易清洁，不变形，暗藏锁定开关，稳定可靠，床尾板外侧设信息卡插槽并带防撞包角，有防撞功能；对称式快速挂钩座，可快速拆卸。</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7、采用5寸高档脚轮，内置全封闭自润滑轴承，不需加油护理，防异物卷入,独立刹车；轮面采用TPR高分子耐磨材料，耐磨，无噪音。</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8、整床采用双重磷化+静电粉体涂装处理。床体涂料采用抗菌涂料，防菌抗菌，抗酸碱腐蚀，耐裉色，有效延长使用寿命.</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9、床框两端置对角有两个点滴架插孔，床框两侧置有2个引流尿袋挂钩。</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10、四折床垫</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1、产品尺寸：能与床大小匹配。</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 xml:space="preserve">2、床套采用绿色单面牛津防水布材料，附透气孔，拉链设置，预留输液插孔位置拆洗方便；                                                                 </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3、内层采用高密度海棉及机压整形棕丝，透气性强，均经防虫、防变形处理；  床垫总体厚度为60mm，其中海棉20mm、椰棕40mm。</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二、床头柜</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 、床头柜规格尺寸： 420*450*740mm。</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 、整体采用 ABS 材料注塑成型，材料强度高，外形美观大方；</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 、床头柜由柜体、面盖、柜门、抽屉、拉板、毛巾架等组成；</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4 、柜体正面形状为圆弧形，左右两侧面配有折叠隐藏式毛巾架，需用时将伸出，反之不用时收拢，放置在柜体侧面型体内，角度范围 90 度；</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5、抽屉面板外面形状为圆弧状，面板下方有抽屉拉手孔，便于拉、关抽屉；</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6、柜门内有一层隔板，方便分内存放物品，根据物品的高度还可以调节隔板的高度，具有两层调节功能。</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124套</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1"/>
                <w:szCs w:val="21"/>
                <w:highlight w:val="none"/>
                <w:u w:val="none"/>
                <w:lang w:val="en-US" w:eastAsia="zh-CN" w:bidi="ar-SA"/>
              </w:rPr>
            </w:pPr>
            <w:r>
              <w:rPr>
                <w:rFonts w:hint="eastAsia" w:ascii="仿宋" w:hAnsi="仿宋" w:eastAsia="仿宋" w:cs="仿宋"/>
                <w:i w:val="0"/>
                <w:iCs w:val="0"/>
                <w:color w:val="000000"/>
                <w:kern w:val="0"/>
                <w:sz w:val="21"/>
                <w:szCs w:val="21"/>
                <w:highlight w:val="none"/>
                <w:u w:val="none"/>
                <w:lang w:val="en-US" w:eastAsia="zh-CN"/>
              </w:rPr>
              <w:t>光明30套台、幸福94套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27</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超频正骨枪</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1、主机材质：环保ABS材质</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2、智能可调：4档可调</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3、频率调节：3档变频</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2个</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rPr>
            </w:pPr>
            <w:r>
              <w:rPr>
                <w:rFonts w:hint="eastAsia" w:ascii="仿宋" w:hAnsi="仿宋" w:eastAsia="仿宋" w:cs="仿宋"/>
                <w:i w:val="0"/>
                <w:iCs w:val="0"/>
                <w:color w:val="000000"/>
                <w:kern w:val="0"/>
                <w:sz w:val="21"/>
                <w:szCs w:val="21"/>
                <w:highlight w:val="none"/>
                <w:u w:val="none"/>
                <w:lang w:val="en-US" w:eastAsia="zh-CN"/>
              </w:rPr>
              <w:t>28</w:t>
            </w:r>
          </w:p>
        </w:tc>
        <w:tc>
          <w:tcPr>
            <w:tcW w:w="1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电机筋膜枪</w:t>
            </w:r>
            <w:r>
              <w:rPr>
                <w:rFonts w:hint="eastAsia" w:ascii="仿宋" w:hAnsi="仿宋" w:eastAsia="仿宋" w:cs="仿宋"/>
                <w:i w:val="0"/>
                <w:iCs w:val="0"/>
                <w:color w:val="000000"/>
                <w:sz w:val="21"/>
                <w:szCs w:val="21"/>
                <w:highlight w:val="none"/>
                <w:u w:val="none"/>
              </w:rPr>
              <w:tab/>
            </w:r>
          </w:p>
        </w:tc>
        <w:tc>
          <w:tcPr>
            <w:tcW w:w="8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注册适用范围：适用于颈椎病(神经根型)、肩关节周围炎、慢性软组织损伤引起的疼痛和关节活动受限的辅助治疗（提供证明文件予以佐证）。</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产品介绍</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深层肌肉刺激仪通过高频振动，刺激肌肉、肌腱、关节囊内各种感受器，能够起到活跃细胞，降低肌源性疼痛，提高痛阀，促进血液循环与淋巴回流，加快组织修复与生长，改善本体感觉障碍，松解疤痕组织，减少乳酸堆积，缓解机体疲劳等功效。</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技术参数</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1、高频率，高静音，高转速马达</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2、电池（电压 12V，容量 2000 毫安） </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3、TYPE-C充电接口</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4、电机启动和调速按钮</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5、按摩头（7 种）</w:t>
            </w:r>
          </w:p>
          <w:p>
            <w:pPr>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6、电源指示灯（工作时指示灯亮）</w:t>
            </w:r>
          </w:p>
          <w:p>
            <w:pPr>
              <w:jc w:val="left"/>
              <w:rPr>
                <w:rFonts w:hint="eastAsia" w:ascii="仿宋" w:hAnsi="仿宋" w:eastAsia="仿宋" w:cs="仿宋"/>
                <w:i w:val="0"/>
                <w:iCs w:val="0"/>
                <w:color w:val="000000"/>
                <w:sz w:val="21"/>
                <w:szCs w:val="21"/>
                <w:highlight w:val="none"/>
                <w:u w:val="none"/>
              </w:rPr>
            </w:pPr>
            <w:r>
              <w:rPr>
                <w:rFonts w:hint="eastAsia" w:ascii="仿宋" w:hAnsi="仿宋" w:eastAsia="仿宋" w:cs="仿宋"/>
                <w:sz w:val="21"/>
                <w:szCs w:val="21"/>
                <w:highlight w:val="none"/>
              </w:rPr>
              <w:t>7、档位指示灯（亮一盏蓝色灯为一档（脉冲频率为1800转/分钟），亮二盏蓝色灯为二档（脉冲频率为2300转/分钟），亮三盏蓝色灯为三档（脉冲频率为2800转/分钟）亮四盏蓝色灯为四档（脉冲频率为3200转/分钟）</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lang w:val="en-US" w:eastAsia="zh-CN"/>
              </w:rPr>
            </w:pPr>
            <w:r>
              <w:rPr>
                <w:rFonts w:hint="eastAsia" w:ascii="仿宋" w:hAnsi="仿宋" w:eastAsia="仿宋" w:cs="仿宋"/>
                <w:i w:val="0"/>
                <w:iCs w:val="0"/>
                <w:color w:val="000000"/>
                <w:sz w:val="21"/>
                <w:szCs w:val="21"/>
                <w:highlight w:val="none"/>
                <w:u w:val="none"/>
                <w:lang w:val="en-US" w:eastAsia="zh-CN"/>
              </w:rPr>
              <w:t>1个</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sz w:val="21"/>
                <w:szCs w:val="21"/>
                <w:highlight w:val="none"/>
                <w:u w:val="none"/>
              </w:rPr>
              <w:t>光明</w:t>
            </w:r>
          </w:p>
        </w:tc>
      </w:tr>
    </w:tbl>
    <w:p>
      <w:pPr>
        <w:rPr>
          <w:rFonts w:hint="eastAsia" w:ascii="仿宋" w:hAnsi="仿宋" w:eastAsia="仿宋" w:cs="仿宋"/>
          <w:b/>
          <w:bCs/>
          <w:sz w:val="24"/>
          <w:szCs w:val="24"/>
          <w:highlight w:val="none"/>
        </w:rPr>
      </w:pPr>
    </w:p>
    <w:p>
      <w:pPr>
        <w:pStyle w:val="30"/>
        <w:rPr>
          <w:rFonts w:hint="eastAsia" w:eastAsia="宋体"/>
          <w:b/>
          <w:bCs/>
          <w:sz w:val="32"/>
          <w:szCs w:val="32"/>
          <w:highlight w:val="none"/>
          <w:lang w:eastAsia="zh-CN"/>
        </w:rPr>
        <w:sectPr>
          <w:headerReference r:id="rId9" w:type="default"/>
          <w:footerReference r:id="rId10" w:type="default"/>
          <w:pgSz w:w="16838" w:h="11905" w:orient="landscape"/>
          <w:pgMar w:top="1417" w:right="1440" w:bottom="1417" w:left="1440" w:header="850" w:footer="992" w:gutter="0"/>
          <w:pgNumType w:fmt="decimal"/>
          <w:cols w:space="0" w:num="1"/>
          <w:rtlGutter w:val="0"/>
          <w:docGrid w:type="linesAndChars" w:linePitch="335" w:charSpace="1057"/>
        </w:sectPr>
      </w:pPr>
      <w:r>
        <w:rPr>
          <w:rFonts w:hint="eastAsia"/>
          <w:b/>
          <w:bCs/>
          <w:sz w:val="32"/>
          <w:szCs w:val="32"/>
          <w:highlight w:val="none"/>
        </w:rPr>
        <w:t>若发现供应商所供产品与所投产品参数不符的，将上报监管部门并列入政府采购严重违法失信行为记录名单</w:t>
      </w:r>
      <w:r>
        <w:rPr>
          <w:rFonts w:hint="eastAsia"/>
          <w:b/>
          <w:bCs/>
          <w:sz w:val="32"/>
          <w:szCs w:val="32"/>
          <w:highlight w:val="none"/>
          <w:lang w:eastAsia="zh-CN"/>
        </w:rPr>
        <w:t>。</w:t>
      </w:r>
    </w:p>
    <w:p>
      <w:pPr>
        <w:spacing w:line="440" w:lineRule="exact"/>
        <w:jc w:val="left"/>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1.2包装要求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供方应提供货物服务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pPr>
        <w:shd w:val="clear" w:color="auto" w:fill="auto"/>
        <w:spacing w:line="264" w:lineRule="auto"/>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1.3项目商务要求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lang w:eastAsia="zh-CN"/>
        </w:rPr>
      </w:pPr>
      <w:r>
        <w:rPr>
          <w:rFonts w:hint="eastAsia" w:ascii="Times New Roman" w:hAnsi="Times New Roman" w:eastAsia="仿宋" w:cs="Times New Roman"/>
          <w:b/>
          <w:bCs w:val="0"/>
          <w:szCs w:val="21"/>
          <w:highlight w:val="none"/>
          <w:lang w:eastAsia="zh-CN"/>
        </w:rPr>
        <w:t>（一）</w:t>
      </w:r>
      <w:r>
        <w:rPr>
          <w:rFonts w:hint="eastAsia" w:ascii="Times New Roman" w:hAnsi="Times New Roman" w:eastAsia="仿宋" w:cs="Times New Roman"/>
          <w:b/>
          <w:bCs w:val="0"/>
          <w:szCs w:val="21"/>
          <w:highlight w:val="none"/>
        </w:rPr>
        <w:t>实施（交货）时间 ：</w:t>
      </w:r>
      <w:r>
        <w:rPr>
          <w:rFonts w:hint="eastAsia" w:ascii="Times New Roman" w:hAnsi="Times New Roman" w:eastAsia="仿宋" w:cs="Times New Roman"/>
          <w:bCs/>
          <w:szCs w:val="21"/>
          <w:highlight w:val="none"/>
        </w:rPr>
        <w:t>合同签订后</w:t>
      </w:r>
      <w:r>
        <w:rPr>
          <w:rFonts w:hint="eastAsia" w:ascii="Times New Roman" w:hAnsi="Times New Roman" w:eastAsia="仿宋" w:cs="Times New Roman"/>
          <w:bCs/>
          <w:szCs w:val="21"/>
          <w:highlight w:val="none"/>
          <w:lang w:eastAsia="zh-CN"/>
        </w:rPr>
        <w:t>在</w:t>
      </w:r>
      <w:r>
        <w:rPr>
          <w:rFonts w:hint="eastAsia" w:eastAsia="仿宋" w:cs="Times New Roman"/>
          <w:bCs/>
          <w:szCs w:val="21"/>
          <w:highlight w:val="none"/>
          <w:lang w:val="en-US" w:eastAsia="zh-CN"/>
        </w:rPr>
        <w:t>15</w:t>
      </w:r>
      <w:r>
        <w:rPr>
          <w:rFonts w:hint="eastAsia" w:ascii="Times New Roman" w:hAnsi="Times New Roman" w:eastAsia="仿宋" w:cs="Times New Roman"/>
          <w:bCs/>
          <w:szCs w:val="21"/>
          <w:highlight w:val="none"/>
          <w:lang w:val="en-US" w:eastAsia="zh-CN"/>
        </w:rPr>
        <w:t>天</w:t>
      </w:r>
      <w:r>
        <w:rPr>
          <w:rFonts w:hint="eastAsia" w:ascii="Times New Roman" w:hAnsi="Times New Roman" w:eastAsia="仿宋" w:cs="Times New Roman"/>
          <w:bCs/>
          <w:szCs w:val="21"/>
          <w:highlight w:val="none"/>
        </w:rPr>
        <w:t>内</w:t>
      </w:r>
      <w:r>
        <w:rPr>
          <w:rFonts w:hint="eastAsia" w:ascii="Times New Roman" w:hAnsi="Times New Roman" w:eastAsia="仿宋" w:cs="Times New Roman"/>
          <w:bCs/>
          <w:szCs w:val="21"/>
          <w:highlight w:val="none"/>
          <w:lang w:eastAsia="zh-CN"/>
        </w:rPr>
        <w:t>完成供货。</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
          <w:bCs w:val="0"/>
          <w:szCs w:val="21"/>
          <w:highlight w:val="none"/>
        </w:rPr>
        <w:t>（二）实施（交货）地点 ：</w:t>
      </w:r>
      <w:r>
        <w:rPr>
          <w:rFonts w:hint="eastAsia" w:ascii="Times New Roman" w:hAnsi="Times New Roman" w:eastAsia="仿宋" w:cs="Times New Roman"/>
          <w:bCs/>
          <w:szCs w:val="21"/>
          <w:highlight w:val="none"/>
        </w:rPr>
        <w:t>甲方指定地点</w:t>
      </w:r>
    </w:p>
    <w:p>
      <w:pPr>
        <w:shd w:val="clear" w:color="auto" w:fill="auto"/>
        <w:spacing w:line="264" w:lineRule="auto"/>
        <w:ind w:firstLine="490" w:firstLineChars="200"/>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（三）报价要求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本次报价为人民币报价，投标报价应包括：货物本身价格、包装费、运输费用、保险费用、</w:t>
      </w:r>
      <w:r>
        <w:rPr>
          <w:rFonts w:hint="eastAsia" w:ascii="Times New Roman" w:hAnsi="Times New Roman" w:eastAsia="仿宋" w:cs="Times New Roman"/>
          <w:bCs/>
          <w:szCs w:val="21"/>
          <w:highlight w:val="none"/>
          <w:lang w:eastAsia="zh-CN"/>
        </w:rPr>
        <w:t>安装调试费、</w:t>
      </w:r>
      <w:r>
        <w:rPr>
          <w:rFonts w:hint="eastAsia" w:ascii="Times New Roman" w:hAnsi="Times New Roman" w:eastAsia="仿宋" w:cs="Times New Roman"/>
          <w:bCs/>
          <w:szCs w:val="21"/>
          <w:highlight w:val="none"/>
        </w:rPr>
        <w:t>装卸费、损耗、税金费用、自检费、人工费、其他配件费及验收合格前和质保期内发生的一切费用、应当提供的伴随服务/售后服务费用。</w:t>
      </w:r>
    </w:p>
    <w:p>
      <w:pPr>
        <w:shd w:val="clear" w:color="auto" w:fill="auto"/>
        <w:spacing w:line="264" w:lineRule="auto"/>
        <w:ind w:firstLine="490" w:firstLineChars="200"/>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（四）质保要求</w:t>
      </w:r>
    </w:p>
    <w:p>
      <w:pPr>
        <w:shd w:val="clear" w:color="auto" w:fill="auto"/>
        <w:spacing w:line="264" w:lineRule="auto"/>
        <w:ind w:firstLine="490" w:firstLineChars="200"/>
        <w:outlineLvl w:val="9"/>
        <w:rPr>
          <w:rFonts w:hint="default" w:ascii="Times New Roman" w:hAnsi="Times New Roman" w:eastAsia="仿宋" w:cs="Times New Roman"/>
          <w:bCs/>
          <w:szCs w:val="21"/>
          <w:highlight w:val="none"/>
          <w:lang w:val="en-US" w:eastAsia="zh-CN"/>
        </w:rPr>
      </w:pPr>
      <w:r>
        <w:rPr>
          <w:rFonts w:hint="eastAsia" w:ascii="Times New Roman" w:hAnsi="Times New Roman" w:eastAsia="仿宋" w:cs="Times New Roman"/>
          <w:bCs/>
          <w:szCs w:val="21"/>
          <w:highlight w:val="none"/>
        </w:rPr>
        <w:t>1、本项目</w:t>
      </w:r>
      <w:r>
        <w:rPr>
          <w:rFonts w:hint="eastAsia" w:eastAsia="仿宋" w:cs="Times New Roman"/>
          <w:bCs/>
          <w:szCs w:val="21"/>
          <w:highlight w:val="none"/>
          <w:lang w:val="en-US" w:eastAsia="zh-CN"/>
        </w:rPr>
        <w:t>采购的所有</w:t>
      </w:r>
      <w:r>
        <w:rPr>
          <w:rFonts w:hint="eastAsia" w:ascii="Times New Roman" w:hAnsi="Times New Roman" w:eastAsia="仿宋" w:cs="Times New Roman"/>
          <w:bCs/>
          <w:szCs w:val="21"/>
          <w:highlight w:val="none"/>
          <w:lang w:eastAsia="zh-CN"/>
        </w:rPr>
        <w:t>医疗设备质保期</w:t>
      </w:r>
      <w:r>
        <w:rPr>
          <w:rFonts w:hint="eastAsia" w:eastAsia="仿宋" w:cs="Times New Roman"/>
          <w:bCs/>
          <w:szCs w:val="21"/>
          <w:highlight w:val="none"/>
          <w:lang w:val="en-US" w:eastAsia="zh-CN"/>
        </w:rPr>
        <w:t>2年，软件终身维护免费升级。</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2、乙方应保证所提供的货物是全新、未使用过的原装合格正品，并完全符合国家标准和行业的相关标准。</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rPr>
        <w:t xml:space="preserve">（五）售后服务、理赔、质量技术及验收保证的承诺及其他要求   </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1、产品使用：甲方在使用乙方所供产品中出现问题需乙方解决时，乙方应无偿解决（退换货），维护解决不了的，乙方无条件更换。</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rPr>
      </w:pPr>
      <w:r>
        <w:rPr>
          <w:rFonts w:hint="eastAsia" w:ascii="Times New Roman" w:hAnsi="Times New Roman" w:eastAsia="仿宋" w:cs="Times New Roman"/>
          <w:bCs/>
          <w:color w:val="auto"/>
          <w:szCs w:val="21"/>
          <w:highlight w:val="none"/>
        </w:rPr>
        <w:t>2、保证产品为全新原厂设备；在调试验收后提供保修服务，保质期内有关于产品质量引发的费用，由乙方承担。保质期内由于甲方的使用不当或者是自然环境造成的，由乙方免费提供维修，维修所用的材料和配件均只收取成本价。质保期期间除更换易损件其他检查、维修提供免费维护维修。</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3、符合国家行业标准要求。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 xml:space="preserve">4、质保期内，当采购人遇到使用及技术问题电话咨询不能解决的，须在24小时内到达现场进行处理。    </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4.1、质保期内，设备出现故障，24小时内到达现场，一般故障8小时内修复，较大故障48小时内解决问题。每年提供不少于4次回访。</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5、交货时应提供以下技术或培训资料（如涉及）</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5.1原产地证明书(由制造厂签发)；</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5.2提供主机及配套设备的安装图纸及说明；</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5.3提供主机及配套设备使用说明书、维护手册；</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5.4备件手册、零件及易损件的图纸及相关资料；</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5.5其它相关技术资料。</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6、投标人设有健全的售后服务机构网点，终端售后服务机构网点有明细以便监督（包括电话、地址、店名、联系人）(附有效的证明资料；如房屋租赁合同或产权证)。如发生以下情况，及时响应并解决故障。</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7、在质保期内，如果投标人的产品技术升级，投标人应及时通知采购人，如采购人有相应要求，投标人应对采购人购买的产品进行升级服务。</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8、质保期过后，投标人应同样提供免费电话咨询服务，并应承诺提供该产品上门维护服务。</w:t>
      </w:r>
    </w:p>
    <w:p>
      <w:pPr>
        <w:pStyle w:val="30"/>
        <w:ind w:firstLine="420" w:firstLineChars="0"/>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本项目因产品性能不同，个别设备具体售后要求如下：</w:t>
      </w:r>
    </w:p>
    <w:p>
      <w:pPr>
        <w:numPr>
          <w:ilvl w:val="0"/>
          <w:numId w:val="8"/>
        </w:numPr>
        <w:shd w:val="clear" w:color="auto" w:fill="auto"/>
        <w:spacing w:line="264" w:lineRule="auto"/>
        <w:ind w:firstLine="420" w:firstLineChars="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生化仪</w:t>
      </w:r>
      <w:r>
        <w:rPr>
          <w:rFonts w:hint="eastAsia" w:ascii="Times New Roman" w:hAnsi="Times New Roman" w:eastAsia="仿宋" w:cs="Times New Roman"/>
          <w:bCs/>
          <w:color w:val="auto"/>
          <w:szCs w:val="21"/>
          <w:highlight w:val="none"/>
          <w:lang w:val="en-US" w:eastAsia="zh-CN"/>
        </w:rPr>
        <w:tab/>
      </w:r>
      <w:r>
        <w:rPr>
          <w:rFonts w:hint="eastAsia" w:ascii="Times New Roman" w:hAnsi="Times New Roman" w:eastAsia="仿宋" w:cs="Times New Roman"/>
          <w:bCs/>
          <w:color w:val="auto"/>
          <w:szCs w:val="21"/>
          <w:highlight w:val="none"/>
          <w:lang w:val="en-US" w:eastAsia="zh-CN"/>
        </w:rPr>
        <w:t>：有专业维修工程师提供售后服务。</w:t>
      </w:r>
    </w:p>
    <w:p>
      <w:pPr>
        <w:numPr>
          <w:ilvl w:val="0"/>
          <w:numId w:val="8"/>
        </w:numPr>
        <w:shd w:val="clear" w:color="auto" w:fill="auto"/>
        <w:spacing w:line="264" w:lineRule="auto"/>
        <w:ind w:firstLine="420" w:firstLineChars="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动态血压仪：有售后服务部门，保证服务的可持续性</w:t>
      </w:r>
      <w:r>
        <w:rPr>
          <w:rFonts w:hint="eastAsia" w:eastAsia="仿宋" w:cs="Times New Roman"/>
          <w:bCs/>
          <w:color w:val="auto"/>
          <w:szCs w:val="21"/>
          <w:highlight w:val="none"/>
          <w:lang w:val="en-US" w:eastAsia="zh-CN"/>
        </w:rPr>
        <w:t>。</w:t>
      </w:r>
    </w:p>
    <w:p>
      <w:pPr>
        <w:numPr>
          <w:ilvl w:val="0"/>
          <w:numId w:val="8"/>
        </w:numPr>
        <w:shd w:val="clear" w:color="auto" w:fill="auto"/>
        <w:spacing w:line="264" w:lineRule="auto"/>
        <w:ind w:firstLine="420" w:firstLineChars="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动态心电图：有售后服务部门，保持服务的可持续性</w:t>
      </w:r>
      <w:r>
        <w:rPr>
          <w:rFonts w:hint="eastAsia" w:eastAsia="仿宋" w:cs="Times New Roman"/>
          <w:bCs/>
          <w:color w:val="auto"/>
          <w:szCs w:val="21"/>
          <w:highlight w:val="none"/>
          <w:lang w:val="en-US" w:eastAsia="zh-CN"/>
        </w:rPr>
        <w:t>。</w:t>
      </w:r>
    </w:p>
    <w:p>
      <w:pPr>
        <w:shd w:val="clear" w:color="auto" w:fill="auto"/>
        <w:spacing w:line="264" w:lineRule="auto"/>
        <w:ind w:firstLine="490" w:firstLineChars="200"/>
        <w:outlineLvl w:val="9"/>
        <w:rPr>
          <w:rFonts w:hint="default"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（六）付款方式</w:t>
      </w:r>
      <w:r>
        <w:rPr>
          <w:rFonts w:hint="eastAsia" w:eastAsia="仿宋" w:cs="Times New Roman"/>
          <w:b/>
          <w:bCs w:val="0"/>
          <w:color w:val="auto"/>
          <w:szCs w:val="21"/>
          <w:highlight w:val="none"/>
          <w:lang w:val="en-US" w:eastAsia="zh-CN"/>
        </w:rPr>
        <w:t>：供货完成安装调试后付全部货款的60%，验收合格设备正常运行后付剩余40%。</w:t>
      </w:r>
    </w:p>
    <w:bookmarkEnd w:id="55"/>
    <w:bookmarkEnd w:id="57"/>
    <w:bookmarkEnd w:id="58"/>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bookmarkStart w:id="59" w:name="_Toc16945"/>
      <w:bookmarkStart w:id="60" w:name="_Toc8238"/>
      <w:bookmarkStart w:id="61" w:name="_Toc21807"/>
      <w:bookmarkStart w:id="62" w:name="_Toc469495740"/>
      <w:r>
        <w:rPr>
          <w:rFonts w:hint="eastAsia" w:ascii="Times New Roman" w:hAnsi="Times New Roman" w:eastAsia="仿宋" w:cs="Times New Roman"/>
          <w:b/>
          <w:bCs w:val="0"/>
          <w:color w:val="auto"/>
          <w:szCs w:val="21"/>
          <w:highlight w:val="none"/>
          <w:lang w:val="en-US" w:eastAsia="zh-CN"/>
        </w:rPr>
        <w:t>（七）验收</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1、供应商提供的产品为全新未使用且符合相关法律法规要求的合格产品。</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2、供应商提供的产品型号、规格等与投标文件、合同规定内容完全一致，且满足采购方提出的采购需求。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3、货物到达现场后，供应商应在使用单位人员在场情况下当面共同清点、检查，作出检查记录，双方签字确认。</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4、货物验收时，供应商向采购人提供生产厂家出具的验收报告、合格证、厂家资格证件等相关文件。</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5、供应商提供的货物未达到招标文件规定要求，且对采购人造成损失的，由供应商承担一切责任，并赔偿所造成的损失。</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（八） 知识产权</w:t>
      </w:r>
      <w:bookmarkEnd w:id="59"/>
      <w:bookmarkEnd w:id="60"/>
      <w:bookmarkEnd w:id="61"/>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bookmarkStart w:id="63" w:name="_Toc20832"/>
      <w:bookmarkStart w:id="64" w:name="_Toc7598"/>
      <w:bookmarkStart w:id="65" w:name="_Toc12239"/>
      <w:bookmarkStart w:id="66" w:name="_Toc12840_WPSOffice_Level1"/>
      <w:bookmarkStart w:id="67" w:name="_Toc267320054"/>
      <w:bookmarkStart w:id="68" w:name="_Toc439255252"/>
      <w:r>
        <w:rPr>
          <w:rFonts w:hint="eastAsia" w:ascii="Times New Roman" w:hAnsi="Times New Roman" w:eastAsia="仿宋" w:cs="Times New Roman"/>
          <w:b/>
          <w:bCs w:val="0"/>
          <w:color w:val="auto"/>
          <w:szCs w:val="21"/>
          <w:highlight w:val="none"/>
          <w:lang w:val="en-US" w:eastAsia="zh-CN"/>
        </w:rPr>
        <w:t>（九） 其他</w:t>
      </w:r>
      <w:bookmarkEnd w:id="63"/>
      <w:bookmarkEnd w:id="64"/>
      <w:bookmarkEnd w:id="65"/>
    </w:p>
    <w:bookmarkEnd w:id="66"/>
    <w:bookmarkEnd w:id="67"/>
    <w:bookmarkEnd w:id="68"/>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1、投标人必须在投标文件中对以上条款和服务承诺明确列出，承诺内容必须达到本篇及招标文件其他条款的要求。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2、其他未尽事宜由供需双方在采购合同中详细约定。</w:t>
      </w:r>
    </w:p>
    <w:bookmarkEnd w:id="62"/>
    <w:p>
      <w:pPr>
        <w:numPr>
          <w:ilvl w:val="0"/>
          <w:numId w:val="0"/>
        </w:numPr>
        <w:spacing w:line="360" w:lineRule="auto"/>
        <w:ind w:leftChars="0" w:right="0" w:rightChars="0"/>
        <w:jc w:val="center"/>
        <w:outlineLvl w:val="9"/>
        <w:rPr>
          <w:rFonts w:hint="eastAsia" w:ascii="仿宋" w:hAnsi="仿宋" w:eastAsia="仿宋" w:cs="仿宋"/>
          <w:b/>
          <w:bCs/>
          <w:color w:val="auto"/>
          <w:sz w:val="36"/>
          <w:szCs w:val="36"/>
          <w:highlight w:val="none"/>
          <w:lang w:eastAsia="zh-CN"/>
        </w:rPr>
      </w:pPr>
    </w:p>
    <w:p>
      <w:pPr>
        <w:pStyle w:val="30"/>
        <w:outlineLvl w:val="9"/>
        <w:rPr>
          <w:rFonts w:hint="eastAsia"/>
          <w:highlight w:val="none"/>
          <w:lang w:eastAsia="zh-CN"/>
        </w:rPr>
      </w:pPr>
    </w:p>
    <w:p>
      <w:pPr>
        <w:outlineLvl w:val="9"/>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br w:type="page"/>
      </w:r>
    </w:p>
    <w:p>
      <w:pPr>
        <w:keepNext w:val="0"/>
        <w:keepLines w:val="0"/>
        <w:pageBreakBefore w:val="0"/>
        <w:numPr>
          <w:ilvl w:val="0"/>
          <w:numId w:val="0"/>
        </w:numPr>
        <w:kinsoku/>
        <w:wordWrap/>
        <w:overflowPunct/>
        <w:topLinePunct w:val="0"/>
        <w:autoSpaceDE/>
        <w:autoSpaceDN/>
        <w:bidi w:val="0"/>
        <w:adjustRightInd/>
        <w:spacing w:line="400" w:lineRule="exact"/>
        <w:ind w:leftChars="0" w:right="0" w:rightChars="0"/>
        <w:jc w:val="center"/>
        <w:outlineLvl w:val="0"/>
        <w:rPr>
          <w:rFonts w:hint="eastAsia" w:ascii="仿宋" w:hAnsi="仿宋" w:eastAsia="仿宋" w:cs="仿宋"/>
          <w:b/>
          <w:bCs/>
          <w:color w:val="auto"/>
          <w:sz w:val="36"/>
          <w:szCs w:val="36"/>
          <w:highlight w:val="none"/>
        </w:rPr>
      </w:pPr>
      <w:bookmarkStart w:id="69" w:name="_Toc27593"/>
      <w:bookmarkStart w:id="70" w:name="_Toc30467"/>
      <w:r>
        <w:rPr>
          <w:rFonts w:hint="eastAsia" w:ascii="仿宋" w:hAnsi="仿宋" w:eastAsia="仿宋" w:cs="仿宋"/>
          <w:b/>
          <w:bCs/>
          <w:color w:val="auto"/>
          <w:sz w:val="36"/>
          <w:szCs w:val="36"/>
          <w:highlight w:val="none"/>
          <w:lang w:eastAsia="zh-CN"/>
        </w:rPr>
        <w:t>第五</w:t>
      </w:r>
      <w:r>
        <w:rPr>
          <w:rFonts w:hint="eastAsia" w:ascii="仿宋" w:hAnsi="仿宋" w:eastAsia="仿宋" w:cs="仿宋"/>
          <w:b/>
          <w:bCs/>
          <w:color w:val="auto"/>
          <w:sz w:val="36"/>
          <w:szCs w:val="36"/>
          <w:highlight w:val="none"/>
          <w:lang w:val="en-US" w:eastAsia="zh-CN"/>
        </w:rPr>
        <w:t xml:space="preserve">部分 </w:t>
      </w:r>
      <w:r>
        <w:rPr>
          <w:rFonts w:hint="eastAsia" w:ascii="仿宋" w:hAnsi="仿宋" w:eastAsia="仿宋" w:cs="仿宋"/>
          <w:b/>
          <w:bCs/>
          <w:color w:val="auto"/>
          <w:sz w:val="36"/>
          <w:szCs w:val="36"/>
          <w:highlight w:val="none"/>
        </w:rPr>
        <w:t>合同条款及格式</w:t>
      </w:r>
      <w:bookmarkEnd w:id="69"/>
      <w:bookmarkEnd w:id="70"/>
    </w:p>
    <w:p>
      <w:pPr>
        <w:keepNext w:val="0"/>
        <w:keepLines w:val="0"/>
        <w:pageBreakBefore w:val="0"/>
        <w:kinsoku/>
        <w:wordWrap/>
        <w:overflowPunct/>
        <w:topLinePunct w:val="0"/>
        <w:autoSpaceDE/>
        <w:autoSpaceDN/>
        <w:bidi w:val="0"/>
        <w:adjustRightInd/>
        <w:spacing w:line="400" w:lineRule="exact"/>
        <w:jc w:val="center"/>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（本合同为合同样稿，最终稿由供需双方协商后确定</w:t>
      </w:r>
      <w:r>
        <w:rPr>
          <w:rFonts w:hint="eastAsia" w:ascii="仿宋" w:hAnsi="仿宋" w:eastAsia="仿宋" w:cs="仿宋"/>
          <w:b/>
          <w:bCs/>
          <w:color w:val="auto"/>
          <w:sz w:val="24"/>
          <w:szCs w:val="24"/>
          <w:highlight w:val="none"/>
          <w:lang w:eastAsia="zh-CN"/>
        </w:rPr>
        <w:t>）</w:t>
      </w:r>
    </w:p>
    <w:p>
      <w:pPr>
        <w:pStyle w:val="17"/>
        <w:keepNext w:val="0"/>
        <w:keepLines w:val="0"/>
        <w:pageBreakBefore w:val="0"/>
        <w:kinsoku/>
        <w:wordWrap/>
        <w:overflowPunct/>
        <w:topLinePunct w:val="0"/>
        <w:autoSpaceDE/>
        <w:autoSpaceDN/>
        <w:bidi w:val="0"/>
        <w:adjustRightInd/>
        <w:spacing w:line="400" w:lineRule="exact"/>
        <w:outlineLvl w:val="9"/>
        <w:rPr>
          <w:rFonts w:hint="eastAsia"/>
          <w:highlight w:val="none"/>
        </w:rPr>
      </w:pP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00" w:lineRule="exact"/>
        <w:ind w:leftChars="0" w:right="0" w:rightChars="0"/>
        <w:jc w:val="center"/>
        <w:textAlignment w:val="baseline"/>
        <w:outlineLvl w:val="9"/>
        <w:rPr>
          <w:rFonts w:hint="eastAsia" w:ascii="黑体" w:hAnsi="黑体" w:eastAsia="黑体" w:cs="黑体"/>
          <w:b/>
          <w:color w:val="auto"/>
          <w:sz w:val="28"/>
          <w:szCs w:val="28"/>
          <w:highlight w:val="none"/>
        </w:rPr>
      </w:pPr>
      <w:bookmarkStart w:id="71" w:name="_Toc469495741"/>
      <w:r>
        <w:rPr>
          <w:rFonts w:hint="eastAsia" w:ascii="黑体" w:hAnsi="黑体" w:eastAsia="黑体" w:cs="黑体"/>
          <w:b/>
          <w:color w:val="auto"/>
          <w:sz w:val="28"/>
          <w:szCs w:val="28"/>
          <w:highlight w:val="none"/>
        </w:rPr>
        <w:t>合同协议书</w:t>
      </w:r>
      <w:bookmarkEnd w:id="71"/>
    </w:p>
    <w:p>
      <w:pPr>
        <w:keepNext w:val="0"/>
        <w:keepLines w:val="0"/>
        <w:pageBreakBefore w:val="0"/>
        <w:shd w:val="clear" w:color="auto" w:fill="auto"/>
        <w:kinsoku/>
        <w:wordWrap/>
        <w:overflowPunct/>
        <w:topLinePunct w:val="0"/>
        <w:autoSpaceDE/>
        <w:bidi w:val="0"/>
        <w:adjustRightInd/>
        <w:snapToGrid/>
        <w:spacing w:line="400" w:lineRule="exact"/>
        <w:ind w:firstLine="2069" w:firstLineChars="845"/>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合同名称   </w:t>
      </w:r>
      <w:r>
        <w:rPr>
          <w:rFonts w:hint="eastAsia" w:ascii="仿宋" w:hAnsi="仿宋" w:eastAsia="仿宋" w:cs="仿宋"/>
          <w:color w:val="auto"/>
          <w:sz w:val="24"/>
          <w:szCs w:val="24"/>
          <w:highlight w:val="none"/>
        </w:rPr>
        <w:t xml:space="preserve">          编号</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bookmarkStart w:id="72" w:name="_Toc246996996"/>
      <w:bookmarkStart w:id="73" w:name="_Toc179632628"/>
      <w:bookmarkStart w:id="74" w:name="_Toc296602498"/>
      <w:bookmarkStart w:id="75" w:name="_Toc247085768"/>
      <w:bookmarkStart w:id="76" w:name="_Toc144974578"/>
      <w:bookmarkStart w:id="77" w:name="_Toc469495742"/>
      <w:bookmarkStart w:id="78" w:name="_Toc152045610"/>
      <w:bookmarkStart w:id="79" w:name="_Toc152042388"/>
      <w:bookmarkStart w:id="80" w:name="_Toc246996253"/>
      <w:r>
        <w:rPr>
          <w:rFonts w:hint="eastAsia" w:ascii="仿宋" w:hAnsi="仿宋" w:eastAsia="仿宋" w:cs="仿宋"/>
          <w:color w:val="auto"/>
          <w:sz w:val="24"/>
          <w:szCs w:val="24"/>
          <w:highlight w:val="none"/>
        </w:rPr>
        <w:t>买    方：                                   卖    方：</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住    所：                                   住    所：                       </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（买方）</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中所需</w:t>
      </w:r>
      <w:r>
        <w:rPr>
          <w:rFonts w:hint="eastAsia" w:ascii="仿宋" w:hAnsi="仿宋" w:eastAsia="仿宋" w:cs="仿宋"/>
          <w:color w:val="auto"/>
          <w:sz w:val="24"/>
          <w:szCs w:val="24"/>
          <w:highlight w:val="none"/>
          <w:u w:val="single"/>
        </w:rPr>
        <w:t>（产品名称）</w:t>
      </w:r>
      <w:r>
        <w:rPr>
          <w:rFonts w:hint="eastAsia" w:ascii="仿宋" w:hAnsi="仿宋" w:eastAsia="仿宋" w:cs="仿宋"/>
          <w:color w:val="auto"/>
          <w:sz w:val="24"/>
          <w:szCs w:val="24"/>
          <w:highlight w:val="none"/>
        </w:rPr>
        <w:t xml:space="preserve"> 经公开招标，确定</w:t>
      </w:r>
      <w:r>
        <w:rPr>
          <w:rFonts w:hint="eastAsia" w:ascii="仿宋" w:hAnsi="仿宋" w:eastAsia="仿宋" w:cs="仿宋"/>
          <w:color w:val="auto"/>
          <w:sz w:val="24"/>
          <w:szCs w:val="24"/>
          <w:highlight w:val="none"/>
          <w:u w:val="single"/>
        </w:rPr>
        <w:t>（卖方）</w:t>
      </w:r>
      <w:r>
        <w:rPr>
          <w:rFonts w:hint="eastAsia" w:ascii="仿宋" w:hAnsi="仿宋" w:eastAsia="仿宋" w:cs="仿宋"/>
          <w:color w:val="auto"/>
          <w:sz w:val="24"/>
          <w:szCs w:val="24"/>
          <w:highlight w:val="none"/>
        </w:rPr>
        <w:t>为中标人。按照中华人民共和国合同法的规定，买卖双方同意按照下述的条款和条件，签署本合同。</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1、本合同文件</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下列每一文件均应作为合同的组成部分进行阅读和解释：</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（2）投标文件（3）中标通知书</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（4）经双方确认进入合同的其它文件、补充条款或说明</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2、采购标的、数量、质量要求</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3、合同总价</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合同总价为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w:t>
      </w:r>
    </w:p>
    <w:p>
      <w:pPr>
        <w:keepNext w:val="0"/>
        <w:keepLines w:val="0"/>
        <w:pageBreakBefore w:val="0"/>
        <w:shd w:val="clear" w:color="auto" w:fill="auto"/>
        <w:kinsoku/>
        <w:wordWrap/>
        <w:overflowPunct/>
        <w:topLinePunct w:val="0"/>
        <w:autoSpaceDE/>
        <w:autoSpaceDN w:val="0"/>
        <w:bidi w:val="0"/>
        <w:adjustRightInd/>
        <w:snapToGrid/>
        <w:spacing w:line="400" w:lineRule="exact"/>
        <w:ind w:firstLine="490" w:firstLineChars="200"/>
        <w:outlineLvl w:val="9"/>
        <w:rPr>
          <w:rFonts w:hint="eastAsia" w:ascii="仿宋" w:hAnsi="仿宋" w:eastAsia="仿宋" w:cs="仿宋"/>
          <w:b/>
          <w:color w:val="auto"/>
          <w:kern w:val="0"/>
          <w:sz w:val="24"/>
          <w:szCs w:val="24"/>
          <w:highlight w:val="none"/>
        </w:rPr>
      </w:pPr>
      <w:r>
        <w:rPr>
          <w:rFonts w:hint="eastAsia" w:ascii="仿宋" w:hAnsi="仿宋" w:eastAsia="仿宋" w:cs="仿宋"/>
          <w:color w:val="auto"/>
          <w:sz w:val="24"/>
          <w:szCs w:val="24"/>
          <w:highlight w:val="none"/>
        </w:rPr>
        <w:t>4、付款方式</w:t>
      </w:r>
      <w:r>
        <w:rPr>
          <w:rFonts w:hint="eastAsia" w:ascii="仿宋" w:hAnsi="仿宋" w:eastAsia="仿宋" w:cs="仿宋"/>
          <w:b/>
          <w:bCs/>
          <w:color w:val="auto"/>
          <w:sz w:val="24"/>
          <w:szCs w:val="24"/>
          <w:highlight w:val="none"/>
        </w:rPr>
        <w:t>：</w:t>
      </w:r>
      <w:r>
        <w:rPr>
          <w:rFonts w:hint="eastAsia" w:ascii="仿宋" w:hAnsi="仿宋" w:eastAsia="仿宋" w:cs="仿宋"/>
          <w:color w:val="auto"/>
          <w:sz w:val="24"/>
          <w:szCs w:val="24"/>
          <w:highlight w:val="none"/>
          <w:u w:val="single"/>
        </w:rPr>
        <w:t xml:space="preserve">                                         。</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5、合同供货（服务）期限及地点和方式</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6、验收要求及违约责任</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7、违约责任及解决争议方法</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8、合同的生效</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合同经双方授权代表签署，买卖双方加盖印章之后生效。</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本合同一式     份，双方各执     份。</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买  方：                          卖  方：</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名  称：（盖章）                   名  称：（盖章）</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法定代表人（或委托代理人）：       法定代表人（或委托代理人）：</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（签字）                        （签字）</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地    址：                        地    址：</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邮政编码：                        邮政编码：</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电    话：                        电    话：</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开户银行：                        开户银行：</w:t>
      </w:r>
    </w:p>
    <w:p>
      <w:pPr>
        <w:pStyle w:val="10"/>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帐    号：                        帐    号：</w:t>
      </w:r>
    </w:p>
    <w:p>
      <w:pPr>
        <w:shd w:val="clear" w:color="auto" w:fill="auto"/>
        <w:spacing w:line="600" w:lineRule="exact"/>
        <w:jc w:val="center"/>
        <w:outlineLvl w:val="9"/>
        <w:rPr>
          <w:rFonts w:hint="eastAsia" w:ascii="黑体" w:eastAsia="黑体"/>
          <w:b/>
          <w:color w:val="auto"/>
          <w:sz w:val="32"/>
          <w:szCs w:val="32"/>
          <w:highlight w:val="none"/>
        </w:rPr>
      </w:pPr>
      <w:r>
        <w:rPr>
          <w:rFonts w:hint="eastAsia" w:ascii="黑体" w:eastAsia="黑体"/>
          <w:b/>
          <w:color w:val="auto"/>
          <w:sz w:val="32"/>
          <w:szCs w:val="32"/>
          <w:highlight w:val="none"/>
        </w:rPr>
        <w:t>二  合同条款</w:t>
      </w:r>
      <w:bookmarkEnd w:id="72"/>
      <w:bookmarkEnd w:id="73"/>
      <w:bookmarkEnd w:id="74"/>
      <w:bookmarkEnd w:id="75"/>
      <w:bookmarkEnd w:id="76"/>
      <w:bookmarkEnd w:id="77"/>
      <w:bookmarkEnd w:id="78"/>
      <w:bookmarkEnd w:id="79"/>
      <w:bookmarkEnd w:id="80"/>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  合同文件</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1、合同文件适用法律</w:t>
      </w:r>
    </w:p>
    <w:p>
      <w:pPr>
        <w:shd w:val="clear" w:color="auto" w:fill="auto"/>
        <w:spacing w:line="440" w:lineRule="exact"/>
        <w:ind w:firstLine="735" w:firstLineChars="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适用于合同文件的法律是中华人民共和国现行法律、法规及招标人所在地的地方性法规。</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2、合同文件组成和解释顺序</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(1)合同文件的组成和解释顺序如下：</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&lt;1&gt;合同的主要条款；</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&lt;2&gt;合同的一般性条款；</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&lt;3&gt;洽商、变更等明确双方权利义务的纪要、协议；</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&lt;4&gt;中标通知书、投标文件和</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&lt;5&gt;有关图纸、标准、规范和其它有关技术资料、技术要求。</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&lt;6&gt;合同的主要条款的效力优于合同的一般性条款的效力。</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3、合同文件使用文字</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(1)合同文件使用中文书写、解释和说明。</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 xml:space="preserve">(2)合同文件使用技术性条款约定的为国家标准和规范；国家没有相应标准、规范时，可使用行业标准、规范。非标货物应按约定的技术性条款的标准和规范。 </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标的物的一般条款</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4、完整物权</w:t>
      </w:r>
    </w:p>
    <w:p>
      <w:pPr>
        <w:shd w:val="clear" w:color="auto" w:fill="auto"/>
        <w:tabs>
          <w:tab w:val="left" w:pos="660"/>
        </w:tabs>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对于出卖的标的物，卖方应当拥有完整物权，并且卖方负有保证第三人不得向买方主张任何权利（包括知识产权）的义务。</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5、质量保证</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应保证所供标的物是全新的，未使用过的，并且是非长期积压的库存商品，完全符合合同规定的质量、规格和性能的要求，卖方应保证其提供的标的物在正确安装，正常使用和保养条件下，在其标称的使用寿命期内应具有满意的性能。在卖方承诺的质量保证期限内，卖方应对由于设计、工艺或材料的缺陷及伴随服务而造成的任何不足或故障负责。</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根据买方按检验标准自己检验的结果或当地技监部门的检验结果，或者在质量保证期内，如果标的物的数量、质量或规格与合同不符或证实标的物是有缺陷的，包括潜在缺陷或使用不符合要求的材料等，买方应尽快以书面形式通知卖方并提出索赔。</w:t>
      </w:r>
    </w:p>
    <w:p>
      <w:pPr>
        <w:pStyle w:val="7"/>
        <w:shd w:val="clear" w:color="auto" w:fill="auto"/>
        <w:tabs>
          <w:tab w:val="left" w:pos="90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(3)除合同主要条款规定外，合同条款中标的物的质量保证期均自标的物通过最终验收之日起计算，且质量保证期按不低于国家标准和卖方承诺的高于国家标准的质保期（卖方有特殊要求的除外）。</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6、包装</w:t>
      </w:r>
    </w:p>
    <w:p>
      <w:pPr>
        <w:pStyle w:val="7"/>
        <w:shd w:val="clear" w:color="auto" w:fill="auto"/>
        <w:tabs>
          <w:tab w:val="left" w:pos="900"/>
        </w:tabs>
        <w:spacing w:line="440" w:lineRule="exact"/>
        <w:ind w:firstLine="551" w:firstLineChars="225"/>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卖方应当按照约定的包装方式交付标的物。对包装方式没有约定或者约定不明确的，应当按照双方补充协议约定的方式包装，或者按照通用的方式包装，没有通用方式的，应当采取足以保护标的物的包装方式。</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7、伴随服务</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(1)卖方除应履行按期按量交付合格标的物的义务之外，还应提供下列服务：</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&lt;1&gt;标的物的现场安装或指导安装、启动、调试、监督（如果必须安装、调试的话）；</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&lt;2&gt;提供标的物组装和一般维修所必须的工具；</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&lt;3&gt;在合同规定的期限内对所提供标的物实行运行监督、维修服务的前提条件是该服务并不能免除卖方在质量保证期内所承担的义务；</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&lt;4&gt;对买方技术人员的技术指导或培训。</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(2)除合同另有规定之外，伴随服务的费用均已含在合同价款中，买方不再另行进行支付。</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  标的物的交付、检验和验收</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8、标的物的交付</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(1)标的物的所有权自标的物交付时转移。</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(2)卖方应当按照约定的期限和约定的地点交付符合</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要求的标的物。</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(3)卖方应当按照约定或者交易习惯向招标人交付提取标的物单证以外的有关单证和资料。</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9、检验和验收</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在交货时，卖方应配合买方对标的物的质量、规格、性能、数量等进行详细而全面的检验，并出具一份合格检验证明，合格检验证明作为验收的依据，但不能作为有关标的物质量、规格、数量或性能的最终检验结果。</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(2)买方根据合同规定的内容和验收标准进行验收，经检验无误后出具验收合格证明，该证明作为最终付款所需文件的组成部分。</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(3)验收期限自标的物交付之日起三十天内。特殊情况需延长的，双方应在合同条款中约定。</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 对标的物提出异议的时间和办法</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10、对标的物提出异议的时间和办法 </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(1)买方在验收过程中，应当于双方约定的检验期间内将标的物的数量或质量不符合约定的情形及处理方式以书面形式通知卖方。</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(2)如买方在验收期满后既不出具验收合格证明又未提出书面异议的视为卖方所交标的物符合合同规定。</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(3)卖方应在收到买方书面异议后七天内负责处理问题，否则将视为默认买方提出的异议和处理意见。</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合同价款和支付</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11、合同价款和支付</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(1)本合同的结算货币为人民币，单位元。</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(2)卖方应按照双方签订的合同规定交货并在合同主要条款规定的期限内持下列单据结算货款：</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&lt;1&gt;合格的销售发票；</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&lt;2&gt;买方盖章签收后的送货回单和验收合格证明。</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(3)买方应按合同主要条款规定的期限和方式付款。</w:t>
      </w:r>
    </w:p>
    <w:p>
      <w:pPr>
        <w:pStyle w:val="7"/>
        <w:shd w:val="clear" w:color="auto" w:fill="auto"/>
        <w:tabs>
          <w:tab w:val="left" w:pos="54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(4)根据现行税法对买方征收的与本合同有关的一切税费均由买方承担；根据现行税法对卖方征收的与本合同有关的一切税费均由卖方承担。</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 违约责任</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12、违约责任</w:t>
      </w:r>
    </w:p>
    <w:p>
      <w:pPr>
        <w:pStyle w:val="7"/>
        <w:shd w:val="clear" w:color="auto" w:fill="auto"/>
        <w:spacing w:line="440" w:lineRule="exact"/>
        <w:ind w:firstLine="551" w:firstLineChars="225"/>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合同一方不履行合同义务或者履行合同义务不符合约定的，应当承担继续履行、采取补救措施或者赔偿损失等违约责任。</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13、买方违约责任</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(1)在合同生效后，买方要求退货的，应向卖方偿付合同总价款的5%，作为违约金，违约金不足以补偿损失的，卖方有权要求甲方补足。</w:t>
      </w:r>
    </w:p>
    <w:p>
      <w:pPr>
        <w:pStyle w:val="7"/>
        <w:shd w:val="clear" w:color="auto" w:fill="auto"/>
        <w:overflowPunct w:val="0"/>
        <w:spacing w:line="440" w:lineRule="exact"/>
        <w:ind w:right="-389" w:rightChars="-159"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(2)买方逾期付款的应按照逾期付款金额的每天万分之四支付逾期付款违约金。</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(3)买方违反合同规定，拒绝接收卖方交付的符合</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要求的合格标的物，应当承担卖方由此造成的损失。</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14、卖方违约责任</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(1)卖方不能交货（逾期超过五天视为不能交货），或交货不合格从而影响买方按期正常使用的，应向买方偿付合同总价款5%的违约金，违约金不足以补偿损失的，买方有权要求卖方补足。</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(2)卖方逾期交货的，应在发货前与买方和政府采购管理部门协商，买方仍需求的，卖方应立即发货并应按照逾期交货部分货款的每天万分之四支付逾期交货违约金，同时承担买方因此遭致的损失费用。</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15、不可抗力</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(1)因水灾、火灾、地震、战争等不可抗力不能履行合同的，根据不可抗力的影响，部分或者全部免除责任。但合同一方迟延履行后发生不可抗力的，不能免除责任。</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(2)合同一方因不可抗力不能履行合同的，应当及时通知对方，以减轻可能给对方造成的损失，并应当在合理期限内提供证明。</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 索赔</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16、索赔</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(1)买方有权根据当地产品质量检验机构或其它有权威部门出具的检验证书向卖方提出索赔。</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(2)在本合同规定的检验期和质量保证期内，如果卖方对买方提出的索赔或差异有责任，则卖方应按买方同意的下列一种或多种方式解决索赔事宜：</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&lt;1&gt;卖方同意退货，并按合同规定的货币将货款退还给买方，并承担由此发生的一切损失和费用，包括利息、银行手续费、运费、保险费、检验费、仓储费、装卸费以及为保护退回标的物所需的其它必要费用；</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&lt;2&gt;根据标的物的低劣程度、损坏程度以及甲方遭受损失的数额，经双方协商确定降低标的物的价格；</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3&gt;用符合规格、质量和性能要求的新零件、部件或标的物来更换有缺陷的部分或修补缺陷部分，卖方应承担一切费用和风险并负担买方所发生的一切直接费用。同时，卖方应按合同规定，相应延长修补或被更换部件或标的物的质量保证期。</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如果在买方发出索赔通知后七天内，卖方未能答复，上述索赔应视为已被卖方接受。若卖方未在买方提出索赔通知后七天内或买方同意的更长时间内，按照合同规定的任何一种方法解决索赔事宜，买方将从未付款或卖方开具的履约保证金中扣回索赔金额，如果这些金额不足以补偿索赔金额，买方有权向卖方提出对不足部分的补偿。</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(4)买方提出索赔的书面材料应报当地政府采购管理部门备案。卖方同意的索赔方案应报当地政府采购管理部门审核。</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 履约保证金</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17、履约保证金</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(1)卖方应在本合同签订时，按</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的约定提供相应的履约保证金，保证金的有效期应不低于合同有效期。</w:t>
      </w:r>
    </w:p>
    <w:p>
      <w:pPr>
        <w:pStyle w:val="7"/>
        <w:shd w:val="clear" w:color="auto" w:fill="auto"/>
        <w:overflowPunct w:val="0"/>
        <w:spacing w:line="440" w:lineRule="exact"/>
        <w:ind w:right="-389" w:rightChars="-159"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(2)如果卖方未能履行合同规定的任何义务，买方有权从履约保证金中取得补偿。</w:t>
      </w:r>
    </w:p>
    <w:p>
      <w:pPr>
        <w:pStyle w:val="7"/>
        <w:shd w:val="clear" w:color="auto" w:fill="auto"/>
        <w:overflowPunct w:val="0"/>
        <w:spacing w:line="440" w:lineRule="exact"/>
        <w:ind w:right="-1019" w:rightChars="-416"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(3)履约保证金（无息）将在卖方履行完合同义务，买方支付合同价款的五天内</w:t>
      </w:r>
    </w:p>
    <w:p>
      <w:pPr>
        <w:pStyle w:val="7"/>
        <w:shd w:val="clear" w:color="auto" w:fill="auto"/>
        <w:overflowPunct w:val="0"/>
        <w:spacing w:line="440" w:lineRule="exact"/>
        <w:ind w:right="-1019" w:rightChars="-416" w:firstLine="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退回。</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  合同的解除和转让</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18、合同的解除</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(1)买方和卖方协商一致，可以解除合同。</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(2)有下列情形之一，合同一方可以解除合同：</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&lt;1&gt;因不可抗力致使不能实现合同目的，未受不可抗力影响的一方有权解除合同；</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&lt;2&gt;因合同一方违约导致合同不能履行，另一方有权解除合同。</w:t>
      </w:r>
    </w:p>
    <w:p>
      <w:pPr>
        <w:pStyle w:val="7"/>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(3)有权解除合同的一方，应当在违约事实或不可抗力发生之后三十天内书面通知对方以主张解除合同，合同在书面通知到达对方时解除。</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19、合同的转让</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合同的部分和全部都不得转让。</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 合同的生效</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20、合同的生效</w:t>
      </w:r>
    </w:p>
    <w:p>
      <w:pPr>
        <w:shd w:val="clear" w:color="auto" w:fill="auto"/>
        <w:spacing w:line="440" w:lineRule="exact"/>
        <w:ind w:firstLine="677" w:firstLineChars="27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本合同在双方签字盖章并在招标人收到中标人提交的履约保证金后，经招标采购管理部门备案后生效。</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十一. 争议解决</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21、争议解决</w:t>
      </w:r>
    </w:p>
    <w:p>
      <w:pPr>
        <w:pStyle w:val="7"/>
        <w:shd w:val="clear" w:color="auto" w:fill="auto"/>
        <w:overflowPunct w:val="0"/>
        <w:spacing w:line="440" w:lineRule="exact"/>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 xml:space="preserve"> 买卖双方因合同发生争议，进行调解，协商不成，可选择：</w:t>
      </w:r>
    </w:p>
    <w:p>
      <w:pPr>
        <w:pStyle w:val="7"/>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(1)双方同时申请仲裁；</w:t>
      </w:r>
    </w:p>
    <w:p>
      <w:pPr>
        <w:pStyle w:val="7"/>
        <w:shd w:val="clear" w:color="auto" w:fill="auto"/>
        <w:tabs>
          <w:tab w:val="left" w:pos="90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(2)向买方所在地人民法院提起诉讼。</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十二 .附则</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22、合同份数。</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本合同一式陆份，买卖双方各执二份，招标代理机构一份，招标采购管理部门一份。</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23、未尽事宜</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本合同未尽事宜应按《中华人民共和国政府采购法》、《中华人民共和国合同法》、《中华人民共和国产品质量法》之规定解释。</w:t>
      </w:r>
    </w:p>
    <w:p>
      <w:pPr>
        <w:pStyle w:val="10"/>
        <w:shd w:val="clear" w:color="auto" w:fill="auto"/>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p>
    <w:p>
      <w:pPr>
        <w:outlineLvl w:val="9"/>
        <w:rPr>
          <w:rFonts w:hint="eastAsia" w:ascii="仿宋" w:hAnsi="仿宋" w:eastAsia="仿宋" w:cs="仿宋"/>
          <w:b/>
          <w:bCs/>
          <w:color w:val="auto"/>
          <w:spacing w:val="0"/>
          <w:w w:val="100"/>
          <w:position w:val="0"/>
          <w:sz w:val="36"/>
          <w:szCs w:val="36"/>
          <w:highlight w:val="none"/>
        </w:rPr>
      </w:pPr>
      <w:r>
        <w:rPr>
          <w:rFonts w:hint="eastAsia" w:ascii="仿宋" w:hAnsi="仿宋" w:eastAsia="仿宋" w:cs="仿宋"/>
          <w:b/>
          <w:bCs/>
          <w:color w:val="auto"/>
          <w:spacing w:val="0"/>
          <w:w w:val="100"/>
          <w:position w:val="0"/>
          <w:sz w:val="36"/>
          <w:szCs w:val="36"/>
          <w:highlight w:val="none"/>
        </w:rPr>
        <w:br w:type="page"/>
      </w:r>
    </w:p>
    <w:p>
      <w:pPr>
        <w:pStyle w:val="34"/>
        <w:keepNext/>
        <w:keepLines/>
        <w:widowControl w:val="0"/>
        <w:shd w:val="clear" w:color="auto" w:fill="auto"/>
        <w:bidi w:val="0"/>
        <w:spacing w:before="0" w:after="1160" w:line="240" w:lineRule="auto"/>
        <w:ind w:left="0" w:right="0" w:firstLine="0"/>
        <w:jc w:val="center"/>
        <w:outlineLvl w:val="0"/>
        <w:rPr>
          <w:rFonts w:hint="eastAsia" w:ascii="仿宋" w:hAnsi="仿宋" w:eastAsia="仿宋" w:cs="仿宋"/>
          <w:b/>
          <w:bCs/>
          <w:color w:val="auto"/>
          <w:sz w:val="36"/>
          <w:szCs w:val="36"/>
          <w:highlight w:val="none"/>
        </w:rPr>
      </w:pPr>
      <w:bookmarkStart w:id="81" w:name="_Toc21488"/>
      <w:bookmarkStart w:id="82" w:name="_Toc14553"/>
      <w:bookmarkStart w:id="83" w:name="_Toc3868"/>
      <w:r>
        <w:rPr>
          <w:rFonts w:hint="eastAsia" w:ascii="仿宋" w:hAnsi="仿宋" w:eastAsia="仿宋" w:cs="仿宋"/>
          <w:b/>
          <w:bCs/>
          <w:color w:val="auto"/>
          <w:spacing w:val="0"/>
          <w:w w:val="100"/>
          <w:position w:val="0"/>
          <w:sz w:val="36"/>
          <w:szCs w:val="36"/>
          <w:highlight w:val="none"/>
        </w:rPr>
        <w:t>第</w:t>
      </w:r>
      <w:r>
        <w:rPr>
          <w:rFonts w:hint="eastAsia" w:ascii="仿宋" w:hAnsi="仿宋" w:eastAsia="仿宋" w:cs="仿宋"/>
          <w:b/>
          <w:bCs/>
          <w:color w:val="auto"/>
          <w:spacing w:val="0"/>
          <w:w w:val="100"/>
          <w:position w:val="0"/>
          <w:sz w:val="36"/>
          <w:szCs w:val="36"/>
          <w:highlight w:val="none"/>
          <w:lang w:eastAsia="zh-CN"/>
        </w:rPr>
        <w:t>六</w:t>
      </w:r>
      <w:r>
        <w:rPr>
          <w:rFonts w:hint="eastAsia" w:ascii="仿宋" w:hAnsi="仿宋" w:eastAsia="仿宋" w:cs="仿宋"/>
          <w:b/>
          <w:bCs/>
          <w:color w:val="auto"/>
          <w:spacing w:val="0"/>
          <w:w w:val="100"/>
          <w:position w:val="0"/>
          <w:sz w:val="36"/>
          <w:szCs w:val="36"/>
          <w:highlight w:val="none"/>
        </w:rPr>
        <w:t>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rPr>
        <w:t>投标文件格式</w:t>
      </w:r>
      <w:bookmarkEnd w:id="81"/>
      <w:bookmarkEnd w:id="82"/>
      <w:bookmarkEnd w:id="83"/>
    </w:p>
    <w:p>
      <w:pPr>
        <w:adjustRightInd w:val="0"/>
        <w:snapToGrid w:val="0"/>
        <w:spacing w:line="360" w:lineRule="auto"/>
        <w:jc w:val="center"/>
        <w:outlineLvl w:val="9"/>
        <w:rPr>
          <w:rFonts w:hint="eastAsia" w:ascii="仿宋" w:hAnsi="仿宋" w:eastAsia="仿宋" w:cs="仿宋"/>
          <w:b/>
          <w:caps/>
          <w:color w:val="auto"/>
          <w:sz w:val="24"/>
          <w:szCs w:val="24"/>
          <w:highlight w:val="none"/>
        </w:rPr>
      </w:pPr>
      <w:bookmarkStart w:id="84" w:name="bookmark196"/>
    </w:p>
    <w:p>
      <w:pPr>
        <w:adjustRightInd w:val="0"/>
        <w:snapToGrid w:val="0"/>
        <w:spacing w:line="360" w:lineRule="auto"/>
        <w:jc w:val="center"/>
        <w:outlineLvl w:val="9"/>
        <w:rPr>
          <w:rFonts w:hint="eastAsia" w:ascii="仿宋" w:hAnsi="仿宋" w:eastAsia="仿宋" w:cs="仿宋"/>
          <w:bCs/>
          <w:color w:val="auto"/>
          <w:sz w:val="32"/>
          <w:szCs w:val="32"/>
          <w:highlight w:val="none"/>
        </w:rPr>
      </w:pPr>
      <w:r>
        <w:rPr>
          <w:rFonts w:hint="eastAsia" w:ascii="仿宋" w:hAnsi="仿宋" w:eastAsia="仿宋" w:cs="仿宋"/>
          <w:b/>
          <w:caps/>
          <w:color w:val="auto"/>
          <w:sz w:val="32"/>
          <w:szCs w:val="32"/>
          <w:highlight w:val="none"/>
        </w:rPr>
        <w:t>（项目名称）</w:t>
      </w:r>
    </w:p>
    <w:p>
      <w:pPr>
        <w:adjustRightInd w:val="0"/>
        <w:snapToGrid w:val="0"/>
        <w:spacing w:line="360" w:lineRule="auto"/>
        <w:jc w:val="both"/>
        <w:outlineLvl w:val="9"/>
        <w:rPr>
          <w:rFonts w:hint="eastAsia" w:ascii="仿宋" w:hAnsi="仿宋" w:eastAsia="仿宋" w:cs="仿宋"/>
          <w:bCs/>
          <w:color w:val="auto"/>
          <w:sz w:val="32"/>
          <w:szCs w:val="32"/>
          <w:highlight w:val="none"/>
        </w:rPr>
      </w:pPr>
    </w:p>
    <w:p>
      <w:pPr>
        <w:adjustRightInd w:val="0"/>
        <w:snapToGrid w:val="0"/>
        <w:spacing w:line="360" w:lineRule="auto"/>
        <w:jc w:val="center"/>
        <w:outlineLvl w:val="9"/>
        <w:rPr>
          <w:rFonts w:hint="eastAsia" w:ascii="仿宋" w:hAnsi="仿宋" w:eastAsia="仿宋" w:cs="仿宋"/>
          <w:bCs/>
          <w:color w:val="auto"/>
          <w:sz w:val="32"/>
          <w:szCs w:val="32"/>
          <w:highlight w:val="none"/>
        </w:rPr>
      </w:pPr>
    </w:p>
    <w:p>
      <w:pPr>
        <w:adjustRightInd w:val="0"/>
        <w:snapToGrid w:val="0"/>
        <w:spacing w:line="360" w:lineRule="auto"/>
        <w:jc w:val="center"/>
        <w:outlineLvl w:val="9"/>
        <w:rPr>
          <w:rFonts w:hint="eastAsia" w:ascii="仿宋" w:hAnsi="仿宋" w:eastAsia="仿宋" w:cs="仿宋"/>
          <w:bCs/>
          <w:color w:val="auto"/>
          <w:sz w:val="32"/>
          <w:szCs w:val="32"/>
          <w:highlight w:val="none"/>
          <w:lang w:eastAsia="zh-CN"/>
        </w:rPr>
      </w:pPr>
      <w:r>
        <w:rPr>
          <w:rFonts w:hint="eastAsia" w:ascii="仿宋" w:hAnsi="仿宋" w:eastAsia="仿宋" w:cs="仿宋"/>
          <w:b/>
          <w:bCs/>
          <w:color w:val="auto"/>
          <w:sz w:val="44"/>
          <w:szCs w:val="44"/>
          <w:highlight w:val="none"/>
          <w:lang w:eastAsia="zh-CN"/>
        </w:rPr>
        <w:t>投标文件</w:t>
      </w:r>
    </w:p>
    <w:p>
      <w:pPr>
        <w:adjustRightInd w:val="0"/>
        <w:snapToGrid w:val="0"/>
        <w:spacing w:line="360" w:lineRule="auto"/>
        <w:jc w:val="center"/>
        <w:outlineLvl w:val="9"/>
        <w:rPr>
          <w:rFonts w:hint="eastAsia" w:ascii="仿宋" w:hAnsi="仿宋" w:eastAsia="仿宋" w:cs="仿宋"/>
          <w:bCs/>
          <w:color w:val="auto"/>
          <w:sz w:val="32"/>
          <w:szCs w:val="32"/>
          <w:highlight w:val="none"/>
        </w:rPr>
      </w:pPr>
    </w:p>
    <w:p>
      <w:pPr>
        <w:adjustRightInd w:val="0"/>
        <w:snapToGrid w:val="0"/>
        <w:spacing w:line="360" w:lineRule="auto"/>
        <w:jc w:val="both"/>
        <w:outlineLvl w:val="9"/>
        <w:rPr>
          <w:rFonts w:hint="eastAsia" w:ascii="仿宋" w:hAnsi="仿宋" w:eastAsia="仿宋" w:cs="仿宋"/>
          <w:bCs/>
          <w:color w:val="auto"/>
          <w:sz w:val="32"/>
          <w:szCs w:val="32"/>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0"/>
          <w:kern w:val="0"/>
          <w:sz w:val="28"/>
          <w:szCs w:val="28"/>
          <w:highlight w:val="none"/>
          <w:fitText w:val="2810" w:id="1470909418"/>
        </w:rPr>
        <w:t>供应商名称（公章）：</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0"/>
          <w:w w:val="77"/>
          <w:kern w:val="0"/>
          <w:sz w:val="28"/>
          <w:szCs w:val="28"/>
          <w:highlight w:val="none"/>
          <w:fitText w:val="2810" w:id="1"/>
        </w:rPr>
        <w:t>法定代表人（</w:t>
      </w:r>
      <w:r>
        <w:rPr>
          <w:rFonts w:hint="eastAsia" w:ascii="仿宋" w:hAnsi="仿宋" w:eastAsia="仿宋" w:cs="仿宋"/>
          <w:b/>
          <w:caps/>
          <w:color w:val="auto"/>
          <w:spacing w:val="0"/>
          <w:w w:val="77"/>
          <w:kern w:val="0"/>
          <w:sz w:val="28"/>
          <w:szCs w:val="28"/>
          <w:highlight w:val="none"/>
          <w:fitText w:val="2810" w:id="1"/>
          <w:lang w:eastAsia="zh-CN"/>
        </w:rPr>
        <w:t>签字</w:t>
      </w:r>
      <w:r>
        <w:rPr>
          <w:rFonts w:hint="eastAsia" w:ascii="仿宋" w:hAnsi="仿宋" w:eastAsia="仿宋" w:cs="仿宋"/>
          <w:b/>
          <w:caps/>
          <w:color w:val="auto"/>
          <w:spacing w:val="0"/>
          <w:w w:val="77"/>
          <w:kern w:val="0"/>
          <w:sz w:val="28"/>
          <w:szCs w:val="28"/>
          <w:highlight w:val="none"/>
          <w:fitText w:val="2810" w:id="1"/>
        </w:rPr>
        <w:t>或盖章）</w:t>
      </w:r>
      <w:r>
        <w:rPr>
          <w:rFonts w:hint="eastAsia" w:ascii="仿宋" w:hAnsi="仿宋" w:eastAsia="仿宋" w:cs="仿宋"/>
          <w:b/>
          <w:caps/>
          <w:color w:val="auto"/>
          <w:spacing w:val="-1"/>
          <w:w w:val="77"/>
          <w:kern w:val="0"/>
          <w:sz w:val="28"/>
          <w:szCs w:val="28"/>
          <w:highlight w:val="none"/>
          <w:fitText w:val="2810" w:id="1"/>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113"/>
          <w:kern w:val="0"/>
          <w:sz w:val="28"/>
          <w:szCs w:val="28"/>
          <w:highlight w:val="none"/>
          <w:fitText w:val="2810" w:id="2"/>
        </w:rPr>
        <w:t>供应商地址</w:t>
      </w:r>
      <w:r>
        <w:rPr>
          <w:rFonts w:hint="eastAsia" w:ascii="仿宋" w:hAnsi="仿宋" w:eastAsia="仿宋" w:cs="仿宋"/>
          <w:b/>
          <w:caps/>
          <w:color w:val="auto"/>
          <w:spacing w:val="0"/>
          <w:kern w:val="0"/>
          <w:sz w:val="28"/>
          <w:szCs w:val="28"/>
          <w:highlight w:val="none"/>
          <w:fitText w:val="2810" w:id="2"/>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281"/>
          <w:kern w:val="0"/>
          <w:sz w:val="28"/>
          <w:szCs w:val="28"/>
          <w:highlight w:val="none"/>
          <w:fitText w:val="2810" w:id="3"/>
        </w:rPr>
        <w:t>联系人</w:t>
      </w:r>
      <w:r>
        <w:rPr>
          <w:rFonts w:hint="eastAsia" w:ascii="仿宋" w:hAnsi="仿宋" w:eastAsia="仿宋" w:cs="仿宋"/>
          <w:b/>
          <w:caps/>
          <w:color w:val="auto"/>
          <w:spacing w:val="2"/>
          <w:kern w:val="0"/>
          <w:sz w:val="28"/>
          <w:szCs w:val="28"/>
          <w:highlight w:val="none"/>
          <w:fitText w:val="2810" w:id="3"/>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kern w:val="0"/>
          <w:sz w:val="28"/>
          <w:szCs w:val="28"/>
          <w:highlight w:val="none"/>
        </w:rPr>
      </w:pPr>
      <w:r>
        <w:rPr>
          <w:rFonts w:hint="eastAsia" w:ascii="仿宋" w:hAnsi="仿宋" w:eastAsia="仿宋" w:cs="仿宋"/>
          <w:b/>
          <w:caps/>
          <w:color w:val="auto"/>
          <w:spacing w:val="176"/>
          <w:kern w:val="0"/>
          <w:sz w:val="28"/>
          <w:szCs w:val="28"/>
          <w:highlight w:val="none"/>
          <w:fitText w:val="2810" w:id="4"/>
        </w:rPr>
        <w:t>联系电话</w:t>
      </w:r>
      <w:r>
        <w:rPr>
          <w:rFonts w:hint="eastAsia" w:ascii="仿宋" w:hAnsi="仿宋" w:eastAsia="仿宋" w:cs="仿宋"/>
          <w:b/>
          <w:caps/>
          <w:color w:val="auto"/>
          <w:spacing w:val="1"/>
          <w:kern w:val="0"/>
          <w:sz w:val="28"/>
          <w:szCs w:val="28"/>
          <w:highlight w:val="none"/>
          <w:fitText w:val="2810" w:id="4"/>
        </w:rPr>
        <w:t>：</w:t>
      </w:r>
    </w:p>
    <w:p>
      <w:pPr>
        <w:pStyle w:val="2"/>
        <w:numPr>
          <w:ilvl w:val="0"/>
          <w:numId w:val="0"/>
        </w:numPr>
        <w:ind w:leftChars="0" w:right="0" w:rightChars="0"/>
        <w:rPr>
          <w:rFonts w:hint="eastAsia"/>
          <w:highlight w:val="none"/>
        </w:rPr>
      </w:pPr>
    </w:p>
    <w:p>
      <w:pPr>
        <w:pStyle w:val="2"/>
        <w:numPr>
          <w:ilvl w:val="0"/>
          <w:numId w:val="0"/>
        </w:numPr>
        <w:ind w:leftChars="0" w:right="0" w:rightChars="0"/>
        <w:jc w:val="left"/>
        <w:rPr>
          <w:rFonts w:hint="default" w:eastAsia="仿宋"/>
          <w:highlight w:val="none"/>
          <w:lang w:val="en-US" w:eastAsia="zh-CN"/>
        </w:rPr>
      </w:pPr>
      <w:r>
        <w:rPr>
          <w:rFonts w:hint="eastAsia" w:ascii="仿宋" w:hAnsi="仿宋" w:eastAsia="仿宋" w:cs="仿宋"/>
          <w:b/>
          <w:caps/>
          <w:color w:val="auto"/>
          <w:kern w:val="0"/>
          <w:sz w:val="28"/>
          <w:szCs w:val="28"/>
          <w:highlight w:val="none"/>
          <w:lang w:val="en-US" w:eastAsia="zh-CN"/>
        </w:rPr>
        <w:t xml:space="preserve">日              期： </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年</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 xml:space="preserve"> 月</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日</w:t>
      </w:r>
    </w:p>
    <w:p>
      <w:pPr>
        <w:adjustRightInd w:val="0"/>
        <w:snapToGrid w:val="0"/>
        <w:spacing w:line="360" w:lineRule="auto"/>
        <w:jc w:val="center"/>
        <w:outlineLvl w:val="9"/>
        <w:rPr>
          <w:rFonts w:hint="eastAsia" w:ascii="仿宋" w:hAnsi="仿宋" w:eastAsia="仿宋" w:cs="仿宋"/>
          <w:b/>
          <w:caps/>
          <w:color w:val="auto"/>
          <w:sz w:val="28"/>
          <w:szCs w:val="28"/>
          <w:highlight w:val="none"/>
        </w:rPr>
      </w:pPr>
    </w:p>
    <w:p>
      <w:pPr>
        <w:pStyle w:val="36"/>
        <w:keepNext w:val="0"/>
        <w:keepLines w:val="0"/>
        <w:widowControl w:val="0"/>
        <w:shd w:val="clear" w:color="auto" w:fill="auto"/>
        <w:bidi w:val="0"/>
        <w:spacing w:before="0" w:after="340" w:line="240" w:lineRule="auto"/>
        <w:ind w:left="0" w:right="0" w:firstLine="0"/>
        <w:jc w:val="left"/>
        <w:outlineLvl w:val="9"/>
        <w:rPr>
          <w:rFonts w:hint="eastAsia" w:ascii="仿宋" w:hAnsi="仿宋" w:eastAsia="仿宋" w:cs="仿宋"/>
          <w:color w:val="auto"/>
          <w:spacing w:val="0"/>
          <w:w w:val="100"/>
          <w:position w:val="0"/>
          <w:highlight w:val="none"/>
        </w:rPr>
      </w:pPr>
    </w:p>
    <w:p>
      <w:pPr>
        <w:pStyle w:val="36"/>
        <w:keepNext w:val="0"/>
        <w:keepLines w:val="0"/>
        <w:widowControl w:val="0"/>
        <w:shd w:val="clear" w:color="auto" w:fill="auto"/>
        <w:bidi w:val="0"/>
        <w:spacing w:before="0" w:after="340" w:line="240" w:lineRule="auto"/>
        <w:ind w:left="0" w:right="0" w:firstLine="0"/>
        <w:jc w:val="left"/>
        <w:outlineLvl w:val="9"/>
        <w:rPr>
          <w:rFonts w:hint="eastAsia" w:ascii="仿宋" w:hAnsi="仿宋" w:eastAsia="仿宋" w:cs="仿宋"/>
          <w:color w:val="auto"/>
          <w:spacing w:val="0"/>
          <w:w w:val="100"/>
          <w:position w:val="0"/>
          <w:highlight w:val="none"/>
        </w:rPr>
      </w:pPr>
    </w:p>
    <w:bookmarkEnd w:id="84"/>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z w:val="24"/>
          <w:highlight w:val="none"/>
        </w:rPr>
      </w:pPr>
      <w:bookmarkStart w:id="85" w:name="_Toc515647803"/>
      <w:bookmarkStart w:id="86" w:name="_Toc18974"/>
      <w:bookmarkStart w:id="87" w:name="_Toc18694"/>
      <w:bookmarkStart w:id="88" w:name="_Toc8919"/>
    </w:p>
    <w:p>
      <w:pPr>
        <w:numPr>
          <w:ilvl w:val="0"/>
          <w:numId w:val="0"/>
        </w:numPr>
        <w:shd w:val="clear" w:color="auto" w:fill="auto"/>
        <w:tabs>
          <w:tab w:val="left" w:pos="540"/>
        </w:tabs>
        <w:spacing w:before="0" w:line="240" w:lineRule="atLeast"/>
        <w:outlineLvl w:val="9"/>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第一部分 资格证明文件</w:t>
      </w:r>
      <w:bookmarkEnd w:id="85"/>
      <w:bookmarkEnd w:id="86"/>
      <w:bookmarkEnd w:id="87"/>
      <w:bookmarkEnd w:id="88"/>
    </w:p>
    <w:p>
      <w:pPr>
        <w:shd w:val="clear" w:color="auto" w:fill="auto"/>
        <w:spacing w:line="240" w:lineRule="atLeast"/>
        <w:ind w:left="708" w:hanging="722" w:hangingChars="295"/>
        <w:jc w:val="center"/>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、法人或者非法人组织的营业执照等证明文件复印件（须加盖本单位章）或自然人的身份证明复印件;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、法定代表人资格证明书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法定代表人授权书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4、投标保证金收据或保函等票据</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投标企业须提供投标人（被授权在职人员）近期社保证明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、参加政府采购活动前3年内在经营活动中没有重大违法记录的书面声明;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7、未被“信用中国”（www.creditchina.gov.cn）、中国政府采购网（www.ccgp.gov.cn）列入失信被执行人、重大税收违法案件当事人名单、政府采购严</w:t>
      </w:r>
      <w:r>
        <w:rPr>
          <w:rFonts w:hint="eastAsia" w:ascii="仿宋" w:hAnsi="仿宋" w:eastAsia="仿宋" w:cs="仿宋"/>
          <w:color w:val="auto"/>
          <w:sz w:val="24"/>
          <w:highlight w:val="none"/>
          <w:lang w:val="en-US" w:eastAsia="zh-CN"/>
        </w:rPr>
        <w:t>重违法失信行为记录名单（提供查询结果网页截图并加盖供应商公章）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kern w:val="0"/>
          <w:sz w:val="24"/>
          <w:szCs w:val="24"/>
          <w:highlight w:val="none"/>
          <w:lang w:bidi="ar"/>
        </w:rPr>
        <w:t>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投标人须知资料表要求的其他资格证明文件;</w:t>
      </w:r>
    </w:p>
    <w:p>
      <w:pPr>
        <w:pStyle w:val="2"/>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p>
    <w:p>
      <w:pPr>
        <w:pStyle w:val="2"/>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shd w:val="clear" w:color="auto" w:fill="auto"/>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lang w:val="en-US" w:eastAsia="zh-CN"/>
        </w:rPr>
      </w:pPr>
      <w:bookmarkStart w:id="89" w:name="_Toc515647805"/>
      <w:bookmarkStart w:id="90" w:name="_Toc17577"/>
      <w:bookmarkStart w:id="91" w:name="_Toc29899"/>
      <w:bookmarkStart w:id="92" w:name="_Toc4844"/>
      <w:r>
        <w:rPr>
          <w:rFonts w:hint="eastAsia" w:ascii="仿宋" w:hAnsi="仿宋" w:eastAsia="仿宋" w:cs="仿宋"/>
          <w:b/>
          <w:bCs/>
          <w:color w:val="auto"/>
          <w:sz w:val="36"/>
          <w:szCs w:val="36"/>
          <w:highlight w:val="none"/>
          <w:lang w:val="en-US" w:eastAsia="zh-CN"/>
        </w:rPr>
        <w:t>1、 法人或者非法人组织的营业执照等证明文件</w:t>
      </w:r>
      <w:bookmarkEnd w:id="89"/>
      <w:bookmarkStart w:id="93" w:name="_Toc515647806"/>
      <w:r>
        <w:rPr>
          <w:rFonts w:hint="eastAsia" w:ascii="仿宋" w:hAnsi="仿宋" w:eastAsia="仿宋" w:cs="仿宋"/>
          <w:b/>
          <w:bCs/>
          <w:color w:val="auto"/>
          <w:sz w:val="36"/>
          <w:szCs w:val="36"/>
          <w:highlight w:val="none"/>
          <w:lang w:val="en-US" w:eastAsia="zh-CN"/>
        </w:rPr>
        <w:t>或自然人的身份证明</w:t>
      </w:r>
      <w:bookmarkEnd w:id="90"/>
      <w:bookmarkEnd w:id="91"/>
      <w:bookmarkEnd w:id="92"/>
      <w:bookmarkEnd w:id="93"/>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jc w:val="center"/>
        <w:outlineLvl w:val="9"/>
        <w:rPr>
          <w:rFonts w:hint="eastAsia" w:ascii="仿宋" w:hAnsi="仿宋" w:eastAsia="仿宋" w:cs="仿宋"/>
          <w:b/>
          <w:color w:val="auto"/>
          <w:sz w:val="24"/>
          <w:highlight w:val="none"/>
        </w:rPr>
      </w:pP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outlineLvl w:val="9"/>
        <w:rPr>
          <w:rFonts w:hint="eastAsia" w:ascii="仿宋" w:hAnsi="仿宋" w:eastAsia="仿宋" w:cs="仿宋"/>
          <w:b/>
          <w:color w:val="auto"/>
          <w:sz w:val="24"/>
          <w:highlight w:val="none"/>
        </w:rPr>
      </w:pPr>
    </w:p>
    <w:p>
      <w:pPr>
        <w:pStyle w:val="12"/>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outlineLvl w:val="9"/>
        <w:rPr>
          <w:rFonts w:hint="eastAsia" w:ascii="仿宋" w:hAnsi="仿宋" w:eastAsia="仿宋" w:cs="仿宋"/>
          <w:b/>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说明：1.提供有效的营业执照等证明文件复印件，复印件上应加盖本单位章。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2. 投标人为自然人的，应提供身份证明的复印件。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32"/>
        <w:outlineLvl w:val="9"/>
        <w:rPr>
          <w:rFonts w:hint="eastAsia" w:ascii="仿宋" w:hAnsi="仿宋" w:eastAsia="仿宋" w:cs="仿宋"/>
          <w:b/>
          <w:bCs/>
          <w:color w:val="auto"/>
          <w:sz w:val="36"/>
          <w:szCs w:val="36"/>
          <w:highlight w:val="none"/>
        </w:rPr>
      </w:pPr>
    </w:p>
    <w:p>
      <w:pPr>
        <w:outlineLvl w:val="9"/>
        <w:rPr>
          <w:rFonts w:hint="eastAsia"/>
          <w:highlight w:val="none"/>
        </w:rPr>
      </w:pPr>
    </w:p>
    <w:p>
      <w:pPr>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lang w:val="en-US" w:eastAsia="zh-CN"/>
        </w:rPr>
      </w:pPr>
    </w:p>
    <w:p>
      <w:pPr>
        <w:pStyle w:val="2"/>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lang w:val="en-US" w:eastAsia="zh-CN"/>
        </w:rPr>
        <w:t>2</w:t>
      </w:r>
      <w:r>
        <w:rPr>
          <w:rFonts w:hint="eastAsia" w:ascii="仿宋" w:hAnsi="仿宋" w:eastAsia="仿宋" w:cs="仿宋"/>
          <w:b/>
          <w:bCs/>
          <w:color w:val="auto"/>
          <w:sz w:val="36"/>
          <w:szCs w:val="36"/>
          <w:highlight w:val="none"/>
        </w:rPr>
        <w:t>、法定代表人身份证明</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投标单位名称：</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单位性质：</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地址：</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身份证号码：</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（投标单位名称）的法定代表人。</w:t>
      </w:r>
    </w:p>
    <w:p>
      <w:pPr>
        <w:spacing w:line="420" w:lineRule="exact"/>
        <w:ind w:firstLine="980" w:firstLineChars="4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pPr>
        <w:pStyle w:val="2"/>
        <w:numPr>
          <w:ilvl w:val="0"/>
          <w:numId w:val="0"/>
        </w:numPr>
        <w:kinsoku w:val="0"/>
        <w:overflowPunct w:val="0"/>
        <w:ind w:leftChars="0" w:right="0" w:rightChars="0"/>
        <w:outlineLvl w:val="9"/>
        <w:rPr>
          <w:rFonts w:hint="eastAsia" w:ascii="仿宋" w:hAnsi="仿宋" w:eastAsia="仿宋" w:cs="仿宋"/>
          <w:color w:val="auto"/>
          <w:sz w:val="20"/>
          <w:szCs w:val="20"/>
          <w:highlight w:val="none"/>
        </w:rPr>
      </w:pPr>
    </w:p>
    <w:p>
      <w:pPr>
        <w:pStyle w:val="2"/>
        <w:numPr>
          <w:ilvl w:val="0"/>
          <w:numId w:val="0"/>
        </w:numPr>
        <w:kinsoku w:val="0"/>
        <w:overflowPunct w:val="0"/>
        <w:spacing w:before="7"/>
        <w:ind w:leftChars="0" w:right="0" w:rightChars="0"/>
        <w:outlineLvl w:val="9"/>
        <w:rPr>
          <w:rFonts w:hint="eastAsia" w:ascii="仿宋" w:hAnsi="仿宋" w:eastAsia="仿宋" w:cs="仿宋"/>
          <w:color w:val="auto"/>
          <w:sz w:val="25"/>
          <w:szCs w:val="25"/>
          <w:highlight w:val="none"/>
        </w:rPr>
      </w:pPr>
    </w:p>
    <w:p>
      <w:pPr>
        <w:pStyle w:val="2"/>
        <w:numPr>
          <w:ilvl w:val="0"/>
          <w:numId w:val="0"/>
        </w:numPr>
        <w:kinsoku w:val="0"/>
        <w:overflowPunct w:val="0"/>
        <w:spacing w:line="200" w:lineRule="atLeast"/>
        <w:ind w:right="0" w:rightChars="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mc:AlternateContent>
          <mc:Choice Requires="wpg">
            <w:drawing>
              <wp:inline distT="0" distB="0" distL="114300" distR="114300">
                <wp:extent cx="5136515" cy="1458595"/>
                <wp:effectExtent l="0" t="0" r="47625" b="29845"/>
                <wp:docPr id="34" name="组合 34"/>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14" name="任意多边形 14"/>
                        <wps:cNvSpPr/>
                        <wps:spPr>
                          <a:xfrm>
                            <a:off x="4" y="9"/>
                            <a:ext cx="8079" cy="20"/>
                          </a:xfrm>
                          <a:custGeom>
                            <a:avLst/>
                            <a:gdLst/>
                            <a:ahLst/>
                            <a:cxnLst/>
                            <a:pathLst>
                              <a:path w="8079" h="20">
                                <a:moveTo>
                                  <a:pt x="0" y="0"/>
                                </a:moveTo>
                                <a:lnTo>
                                  <a:pt x="8078"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5" name="任意多边形 15"/>
                        <wps:cNvSpPr/>
                        <wps:spPr>
                          <a:xfrm>
                            <a:off x="24" y="28"/>
                            <a:ext cx="8041" cy="20"/>
                          </a:xfrm>
                          <a:custGeom>
                            <a:avLst/>
                            <a:gdLst/>
                            <a:ahLst/>
                            <a:cxnLst/>
                            <a:pathLst>
                              <a:path w="8041" h="20">
                                <a:moveTo>
                                  <a:pt x="0" y="0"/>
                                </a:moveTo>
                                <a:lnTo>
                                  <a:pt x="8040"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6" name="任意多边形 16"/>
                        <wps:cNvSpPr/>
                        <wps:spPr>
                          <a:xfrm>
                            <a:off x="24" y="2267"/>
                            <a:ext cx="8041" cy="20"/>
                          </a:xfrm>
                          <a:custGeom>
                            <a:avLst/>
                            <a:gdLst/>
                            <a:ahLst/>
                            <a:cxnLst/>
                            <a:pathLst>
                              <a:path w="8041" h="20">
                                <a:moveTo>
                                  <a:pt x="0" y="0"/>
                                </a:moveTo>
                                <a:lnTo>
                                  <a:pt x="8040"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7" name="任意多边形 17"/>
                        <wps:cNvSpPr/>
                        <wps:spPr>
                          <a:xfrm>
                            <a:off x="4" y="2286"/>
                            <a:ext cx="8079" cy="20"/>
                          </a:xfrm>
                          <a:custGeom>
                            <a:avLst/>
                            <a:gdLst/>
                            <a:ahLst/>
                            <a:cxnLst/>
                            <a:pathLst>
                              <a:path w="8079" h="20">
                                <a:moveTo>
                                  <a:pt x="0" y="0"/>
                                </a:moveTo>
                                <a:lnTo>
                                  <a:pt x="8078"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9" name="任意多边形 19"/>
                        <wps:cNvSpPr/>
                        <wps:spPr>
                          <a:xfrm>
                            <a:off x="9" y="4"/>
                            <a:ext cx="20" cy="2287"/>
                          </a:xfrm>
                          <a:custGeom>
                            <a:avLst/>
                            <a:gdLst/>
                            <a:ahLst/>
                            <a:cxnLst/>
                            <a:pathLst>
                              <a:path w="20" h="2287">
                                <a:moveTo>
                                  <a:pt x="0" y="0"/>
                                </a:moveTo>
                                <a:lnTo>
                                  <a:pt x="0" y="2286"/>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0" name="任意多边形 20"/>
                        <wps:cNvSpPr/>
                        <wps:spPr>
                          <a:xfrm>
                            <a:off x="28" y="24"/>
                            <a:ext cx="20" cy="2249"/>
                          </a:xfrm>
                          <a:custGeom>
                            <a:avLst/>
                            <a:gdLst/>
                            <a:ahLst/>
                            <a:cxnLst/>
                            <a:pathLst>
                              <a:path w="20" h="2249">
                                <a:moveTo>
                                  <a:pt x="0" y="0"/>
                                </a:moveTo>
                                <a:lnTo>
                                  <a:pt x="0" y="224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1" name="任意多边形 21"/>
                        <wps:cNvSpPr/>
                        <wps:spPr>
                          <a:xfrm>
                            <a:off x="4034" y="24"/>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2" name="任意多边形 22"/>
                        <wps:cNvSpPr/>
                        <wps:spPr>
                          <a:xfrm>
                            <a:off x="4053" y="24"/>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3" name="任意多边形 23"/>
                        <wps:cNvSpPr/>
                        <wps:spPr>
                          <a:xfrm>
                            <a:off x="8059" y="33"/>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4" name="任意多边形 24"/>
                        <wps:cNvSpPr/>
                        <wps:spPr>
                          <a:xfrm>
                            <a:off x="8078" y="14"/>
                            <a:ext cx="20" cy="2278"/>
                          </a:xfrm>
                          <a:custGeom>
                            <a:avLst/>
                            <a:gdLst/>
                            <a:ahLst/>
                            <a:cxnLst/>
                            <a:pathLst>
                              <a:path w="20" h="2278">
                                <a:moveTo>
                                  <a:pt x="0" y="0"/>
                                </a:moveTo>
                                <a:lnTo>
                                  <a:pt x="0" y="2277"/>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7" name="文本框 27"/>
                        <wps:cNvSpPr txBox="1"/>
                        <wps:spPr>
                          <a:xfrm>
                            <a:off x="19"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2"/>
                                <w:numPr>
                                  <w:ilvl w:val="0"/>
                                  <w:numId w:val="0"/>
                                </w:numPr>
                                <w:kinsoku w:val="0"/>
                                <w:overflowPunct w:val="0"/>
                                <w:spacing w:before="13"/>
                                <w:ind w:leftChars="0" w:right="0" w:rightChars="0"/>
                                <w:rPr>
                                  <w:rFonts w:hint="eastAsia"/>
                                  <w:sz w:val="28"/>
                                  <w:szCs w:val="28"/>
                                </w:rPr>
                              </w:pPr>
                            </w:p>
                            <w:p>
                              <w:pPr>
                                <w:pStyle w:val="2"/>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法定代表人身份证复印件（正面）</w:t>
                              </w:r>
                            </w:p>
                          </w:txbxContent>
                        </wps:txbx>
                        <wps:bodyPr lIns="0" tIns="0" rIns="0" bIns="0" upright="1"/>
                      </wps:wsp>
                      <wps:wsp>
                        <wps:cNvPr id="32" name="文本框 32"/>
                        <wps:cNvSpPr txBox="1"/>
                        <wps:spPr>
                          <a:xfrm>
                            <a:off x="4044"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2"/>
                                <w:numPr>
                                  <w:ilvl w:val="0"/>
                                  <w:numId w:val="0"/>
                                </w:numPr>
                                <w:kinsoku w:val="0"/>
                                <w:overflowPunct w:val="0"/>
                                <w:spacing w:before="13"/>
                                <w:ind w:leftChars="0" w:right="0" w:rightChars="0"/>
                                <w:rPr>
                                  <w:rFonts w:hint="eastAsia"/>
                                  <w:sz w:val="28"/>
                                  <w:szCs w:val="28"/>
                                </w:rPr>
                              </w:pPr>
                            </w:p>
                            <w:p>
                              <w:pPr>
                                <w:pStyle w:val="2"/>
                                <w:numPr>
                                  <w:ilvl w:val="0"/>
                                  <w:numId w:val="0"/>
                                </w:numPr>
                                <w:kinsoku w:val="0"/>
                                <w:overflowPunct w:val="0"/>
                                <w:ind w:right="0" w:rightChars="0" w:firstLine="241" w:firstLineChars="100"/>
                                <w:rPr>
                                  <w:rFonts w:hint="eastAsia" w:ascii="仿宋" w:hAnsi="仿宋" w:eastAsia="仿宋" w:cs="仿宋"/>
                                  <w:sz w:val="24"/>
                                  <w:szCs w:val="24"/>
                                </w:rPr>
                              </w:pPr>
                              <w:r>
                                <w:rPr>
                                  <w:rFonts w:hint="eastAsia" w:ascii="仿宋" w:hAnsi="仿宋" w:eastAsia="仿宋" w:cs="仿宋"/>
                                  <w:b/>
                                  <w:bCs/>
                                  <w:sz w:val="24"/>
                                  <w:szCs w:val="24"/>
                                </w:rPr>
                                <w:t>法定代表人身份证复印件（反面）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">
                <o:lock v:ext="edit" rotation="t" aspectratio="f"/>
                <v:shape id="_x0000_s1026" o:spid="_x0000_s1026" o:spt="100" style="position:absolute;left:4;top:9;height:20;width:8079;" fillcolor="#FFFFFF [3201]" filled="t" stroked="f" coordsize="8079,20" o:gfxdata="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G/9VFtwAAANsAAAAP&#10;AAAAAAAAAAEAIAAAACIAAABkcnMvZG93bnJldi54bWxQSwECFAAUAAAACACHTuJAMy8FnjsAAAA5&#10;AAAAEAAAAAAAAAABACAAAAAGAQAAZHJzL3NoYXBleG1sLnhtbFBLBQYAAAAABgAGAFsBAACwAwAA&#10;AAA=&#10;" path="m0,0l8078,0e">
                  <v:fill on="t" focussize="0,0"/>
                  <v:stroke on="f" weight="1pt" miterlimit="8" joinstyle="miter"/>
                  <v:imagedata o:title=""/>
                  <o:lock v:ext="edit" aspectratio="f"/>
                </v:shape>
                <v:shape id="_x0000_s1026" o:spid="_x0000_s1026" o:spt="100" style="position:absolute;left:24;top:28;height:20;width:8041;" fillcolor="#FFFFFF [3201]" filled="t" stroked="f" coordsize="8041,20" o:gfxdata="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gPPbsAAADb&#10;AAAADwAAAAAAAAABACAAAAAiAAAAZHJzL2Rvd25yZXYueG1sUEsBAhQAFAAAAAgAh07iQDMvBZ47&#10;AAAAOQAAABAAAAAAAAAAAQAgAAAACgEAAGRycy9zaGFwZXhtbC54bWxQSwUGAAAAAAYABgBbAQAA&#10;tAMAAAAA&#10;" path="m0,0l8040,0e">
                  <v:fill on="t" focussize="0,0"/>
                  <v:stroke on="f" weight="1pt" miterlimit="8" joinstyle="miter"/>
                  <v:imagedata o:title=""/>
                  <o:lock v:ext="edit" aspectratio="f"/>
                </v:shape>
                <v:shape id="_x0000_s1026" o:spid="_x0000_s1026" o:spt="100" style="position:absolute;left:24;top:2267;height:20;width:8041;" fillcolor="#FFFFFF [3201]" filled="t" stroked="f" coordsize="8041,20" o:gfxdata="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SpFKugAAANsA&#10;AAAPAAAAAAAAAAEAIAAAACIAAABkcnMvZG93bnJldi54bWxQSwECFAAUAAAACACHTuJAMy8FnjsA&#10;AAA5AAAAEAAAAAAAAAABACAAAAAJAQAAZHJzL3NoYXBleG1sLnhtbFBLBQYAAAAABgAGAFsBAACz&#10;AwAAAAA=&#10;" path="m0,0l8040,0e">
                  <v:fill on="t" focussize="0,0"/>
                  <v:stroke on="f" weight="1pt" miterlimit="8" joinstyle="miter"/>
                  <v:imagedata o:title=""/>
                  <o:lock v:ext="edit" aspectratio="f"/>
                </v:shape>
                <v:shape id="_x0000_s1026" o:spid="_x0000_s1026" o:spt="100" style="position:absolute;left:4;top:2286;height:20;width:8079;" fillcolor="#FFFFFF [3201]" filled="t" stroked="f" coordsize="8079,20" o:gfxdata="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2LUsytwAAANsAAAAP&#10;AAAAAAAAAAEAIAAAACIAAABkcnMvZG93bnJldi54bWxQSwECFAAUAAAACACHTuJAMy8FnjsAAAA5&#10;AAAAEAAAAAAAAAABACAAAAAGAQAAZHJzL3NoYXBleG1sLnhtbFBLBQYAAAAABgAGAFsBAACwAwAA&#10;AAA=&#10;" path="m0,0l8078,0e">
                  <v:fill on="t" focussize="0,0"/>
                  <v:stroke on="f" weight="1pt" miterlimit="8" joinstyle="miter"/>
                  <v:imagedata o:title=""/>
                  <o:lock v:ext="edit" aspectratio="f"/>
                </v:shape>
                <v:shape id="_x0000_s1026" o:spid="_x0000_s1026" o:spt="100" style="position:absolute;left:9;top:4;height:2287;width:20;" fillcolor="#FFFFFF [3201]" filled="t" stroked="f" coordsize="20,2287" o:gfxdata="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K5e25AAAA2wAA&#10;AA8AAAAAAAAAAQAgAAAAIgAAAGRycy9kb3ducmV2LnhtbFBLAQIUABQAAAAIAIdO4kAzLwWeOwAA&#10;ADkAAAAQAAAAAAAAAAEAIAAAAAgBAABkcnMvc2hhcGV4bWwueG1sUEsFBgAAAAAGAAYAWwEAALID&#10;AAAAAA==&#10;" path="m0,0l0,2286e">
                  <v:fill on="t" focussize="0,0"/>
                  <v:stroke on="f" weight="1pt" miterlimit="8" joinstyle="miter"/>
                  <v:imagedata o:title=""/>
                  <o:lock v:ext="edit" aspectratio="f"/>
                </v:shape>
                <v:shape id="_x0000_s1026" o:spid="_x0000_s1026" o:spt="100" style="position:absolute;left:28;top:24;height:2249;width:20;" fillcolor="#FFFFFF [3201]" filled="t" stroked="f" coordsize="20,2249" o:gfxdata="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SfnZC5AAAA2wAA&#10;AA8AAAAAAAAAAQAgAAAAIgAAAGRycy9kb3ducmV2LnhtbFBLAQIUABQAAAAIAIdO4kAzLwWeOwAA&#10;ADkAAAAQAAAAAAAAAAEAIAAAAAgBAABkcnMvc2hhcGV4bWwueG1sUEsFBgAAAAAGAAYAWwEAALID&#10;AAAAAA==&#10;" path="m0,0l0,2248e">
                  <v:fill on="t" focussize="0,0"/>
                  <v:stroke on="f" weight="1pt" miterlimit="8" joinstyle="miter"/>
                  <v:imagedata o:title=""/>
                  <o:lock v:ext="edit" aspectratio="f"/>
                </v:shape>
                <v:shape id="_x0000_s1026" o:spid="_x0000_s1026" o:spt="100" style="position:absolute;left:4034;top:24;height:2239;width:20;" fillcolor="#FFFFFF [3201]" filled="t" stroked="f" coordsize="20,2239" o:gfxdata="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Jcnwu8AAAA&#10;2wAAAA8AAAAAAAAAAQAgAAAAIgAAAGRycy9kb3ducmV2LnhtbFBLAQIUABQAAAAIAIdO4kAzLwWe&#10;OwAAADkAAAAQAAAAAAAAAAEAIAAAAAsBAABkcnMvc2hhcGV4bWwueG1sUEsFBgAAAAAGAAYAWwEA&#10;ALUDAAAAAA==&#10;" path="m0,0l0,2238e">
                  <v:fill on="t" focussize="0,0"/>
                  <v:stroke on="f" weight="1pt" miterlimit="8" joinstyle="miter"/>
                  <v:imagedata o:title=""/>
                  <o:lock v:ext="edit" aspectratio="f"/>
                </v:shape>
                <v:shape id="_x0000_s1026" o:spid="_x0000_s1026" o:spt="100" style="position:absolute;left:4053;top:24;height:2239;width:20;" fillcolor="#FFFFFF [3201]" filled="t" stroked="f" coordsize="20,2239" o:gfxdata="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o4BfLsAAADb&#10;AAAADwAAAAAAAAABACAAAAAiAAAAZHJzL2Rvd25yZXYueG1sUEsBAhQAFAAAAAgAh07iQDMvBZ47&#10;AAAAOQAAABAAAAAAAAAAAQAgAAAACgEAAGRycy9zaGFwZXhtbC54bWxQSwUGAAAAAAYABgBbAQAA&#10;tAMAAAAA&#10;" path="m0,0l0,2238e">
                  <v:fill on="t" focussize="0,0"/>
                  <v:stroke on="f" weight="1pt" miterlimit="8" joinstyle="miter"/>
                  <v:imagedata o:title=""/>
                  <o:lock v:ext="edit" aspectratio="f"/>
                </v:shape>
                <v:shape id="_x0000_s1026" o:spid="_x0000_s1026" o:spt="100" style="position:absolute;left:8059;top:33;height:2239;width:20;" fillcolor="#FFFFFF [3201]" filled="t" stroked="f" coordsize="20,2239" o:gfxdata="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3CpOe8AAAA&#10;2wAAAA8AAAAAAAAAAQAgAAAAIgAAAGRycy9kb3ducmV2LnhtbFBLAQIUABQAAAAIAIdO4kAzLwWe&#10;OwAAADkAAAAQAAAAAAAAAAEAIAAAAAsBAABkcnMvc2hhcGV4bWwueG1sUEsFBgAAAAAGAAYAWwEA&#10;ALUDAAAAAA==&#10;" path="m0,0l0,2238e">
                  <v:fill on="t" focussize="0,0"/>
                  <v:stroke on="f" weight="1pt" miterlimit="8" joinstyle="miter"/>
                  <v:imagedata o:title=""/>
                  <o:lock v:ext="edit" aspectratio="f"/>
                </v:shape>
                <v:shape id="_x0000_s1026" o:spid="_x0000_s1026" o:spt="100" style="position:absolute;left:8078;top:14;height:2278;width:20;" fillcolor="#FFFFFF [3201]" filled="t" stroked="f" coordsize="20,2278" o:gfxdata="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FRt7sAAADb&#10;AAAADwAAAAAAAAABACAAAAAiAAAAZHJzL2Rvd25yZXYueG1sUEsBAhQAFAAAAAgAh07iQDMvBZ47&#10;AAAAOQAAABAAAAAAAAAAAQAgAAAACgEAAGRycy9zaGFwZXhtbC54bWxQSwUGAAAAAAYABgBbAQAA&#10;tAMAAAAA&#10;" path="m0,0l0,2277e">
                  <v:fill on="t" focussize="0,0"/>
                  <v:stroke on="f" weight="1pt" miterlimit="8" joinstyle="miter"/>
                  <v:imagedata o:title=""/>
                  <o:lock v:ext="edit" aspectratio="f"/>
                </v:shape>
                <v:shape id="_x0000_s1026" o:spid="_x0000_s1026" o:spt="202" type="#_x0000_t202" style="position:absolute;left:19;top:19;height:2258;width:4025;" filled="f" stroked="t" coordsize="21600,21600" o:gfxdata="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cmQwvQAA&#10;ANsAAAAPAAAAAAAAAAEAIAAAACIAAABkcnMvZG93bnJldi54bWxQSwECFAAUAAAACACHTuJAMy8F&#10;njsAAAA5AAAAEAAAAAAAAAABACAAAAAMAQAAZHJzL3NoYXBleG1sLnhtbFBLBQYAAAAABgAGAFsB&#10;AAC2AwAAAAA=&#10;">
                  <v:fill on="f" focussize="0,0"/>
                  <v:stroke weight="1pt" color="#000000 [3200]" miterlimit="8" joinstyle="miter"/>
                  <v:imagedata o:title=""/>
                  <o:lock v:ext="edit" aspectratio="f"/>
                  <v:textbox inset="0mm,0mm,0mm,0mm">
                    <w:txbxContent>
                      <w:p>
                        <w:pPr>
                          <w:pStyle w:val="2"/>
                          <w:numPr>
                            <w:ilvl w:val="0"/>
                            <w:numId w:val="0"/>
                          </w:numPr>
                          <w:kinsoku w:val="0"/>
                          <w:overflowPunct w:val="0"/>
                          <w:spacing w:before="13"/>
                          <w:ind w:leftChars="0" w:right="0" w:rightChars="0"/>
                          <w:rPr>
                            <w:rFonts w:hint="eastAsia"/>
                            <w:sz w:val="28"/>
                            <w:szCs w:val="28"/>
                          </w:rPr>
                        </w:pPr>
                      </w:p>
                      <w:p>
                        <w:pPr>
                          <w:pStyle w:val="2"/>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法定代表人身份证复印件（正面）</w:t>
                        </w:r>
                      </w:p>
                    </w:txbxContent>
                  </v:textbox>
                </v:shape>
                <v:shape id="_x0000_s1026" o:spid="_x0000_s1026" o:spt="202" type="#_x0000_t202" style="position:absolute;left:4044;top:19;height:2258;width:4025;" filled="f" stroked="t" coordsize="21600,21600" o:gfxdata="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cUXW8AAAA&#10;2wAAAA8AAAAAAAAAAQAgAAAAIgAAAGRycy9kb3ducmV2LnhtbFBLAQIUABQAAAAIAIdO4kAzLwWe&#10;OwAAADkAAAAQAAAAAAAAAAEAIAAAAAsBAABkcnMvc2hhcGV4bWwueG1sUEsFBgAAAAAGAAYAWwEA&#10;ALUDAAAAAA==&#10;">
                  <v:fill on="f" focussize="0,0"/>
                  <v:stroke weight="1pt" color="#000000 [3200]" miterlimit="8" joinstyle="miter"/>
                  <v:imagedata o:title=""/>
                  <o:lock v:ext="edit" aspectratio="f"/>
                  <v:textbox inset="0mm,0mm,0mm,0mm">
                    <w:txbxContent>
                      <w:p>
                        <w:pPr>
                          <w:pStyle w:val="2"/>
                          <w:numPr>
                            <w:ilvl w:val="0"/>
                            <w:numId w:val="0"/>
                          </w:numPr>
                          <w:kinsoku w:val="0"/>
                          <w:overflowPunct w:val="0"/>
                          <w:spacing w:before="13"/>
                          <w:ind w:leftChars="0" w:right="0" w:rightChars="0"/>
                          <w:rPr>
                            <w:rFonts w:hint="eastAsia"/>
                            <w:sz w:val="28"/>
                            <w:szCs w:val="28"/>
                          </w:rPr>
                        </w:pPr>
                      </w:p>
                      <w:p>
                        <w:pPr>
                          <w:pStyle w:val="2"/>
                          <w:numPr>
                            <w:ilvl w:val="0"/>
                            <w:numId w:val="0"/>
                          </w:numPr>
                          <w:kinsoku w:val="0"/>
                          <w:overflowPunct w:val="0"/>
                          <w:ind w:right="0" w:rightChars="0" w:firstLine="241" w:firstLineChars="100"/>
                          <w:rPr>
                            <w:rFonts w:hint="eastAsia" w:ascii="仿宋" w:hAnsi="仿宋" w:eastAsia="仿宋" w:cs="仿宋"/>
                            <w:sz w:val="24"/>
                            <w:szCs w:val="24"/>
                          </w:rPr>
                        </w:pPr>
                        <w:r>
                          <w:rPr>
                            <w:rFonts w:hint="eastAsia" w:ascii="仿宋" w:hAnsi="仿宋" w:eastAsia="仿宋" w:cs="仿宋"/>
                            <w:b/>
                            <w:bCs/>
                            <w:sz w:val="24"/>
                            <w:szCs w:val="24"/>
                          </w:rPr>
                          <w:t>法定代表人身份证复印件（反面）</w:t>
                        </w:r>
                      </w:p>
                    </w:txbxContent>
                  </v:textbox>
                </v:shape>
                <w10:wrap type="none"/>
                <w10:anchorlock/>
              </v:group>
            </w:pict>
          </mc:Fallback>
        </mc:AlternateContent>
      </w:r>
    </w:p>
    <w:p>
      <w:pPr>
        <w:wordWrap w:val="0"/>
        <w:spacing w:line="420" w:lineRule="exact"/>
        <w:ind w:firstLine="490" w:firstLineChars="200"/>
        <w:jc w:val="right"/>
        <w:outlineLvl w:val="9"/>
        <w:rPr>
          <w:rFonts w:hint="eastAsia" w:ascii="仿宋" w:hAnsi="仿宋" w:eastAsia="仿宋" w:cs="仿宋"/>
          <w:color w:val="auto"/>
          <w:kern w:val="0"/>
          <w:sz w:val="24"/>
          <w:highlight w:val="none"/>
        </w:rPr>
      </w:pPr>
    </w:p>
    <w:p>
      <w:pPr>
        <w:spacing w:line="420" w:lineRule="exact"/>
        <w:ind w:firstLine="490" w:firstLineChars="200"/>
        <w:jc w:val="right"/>
        <w:outlineLvl w:val="9"/>
        <w:rPr>
          <w:rFonts w:hint="eastAsia" w:ascii="仿宋" w:hAnsi="仿宋" w:eastAsia="仿宋" w:cs="仿宋"/>
          <w:color w:val="auto"/>
          <w:kern w:val="0"/>
          <w:sz w:val="24"/>
          <w:highlight w:val="none"/>
        </w:rPr>
      </w:pPr>
    </w:p>
    <w:p>
      <w:pPr>
        <w:pStyle w:val="17"/>
        <w:outlineLvl w:val="9"/>
        <w:rPr>
          <w:rFonts w:hint="eastAsia" w:ascii="仿宋" w:hAnsi="仿宋" w:eastAsia="仿宋" w:cs="仿宋"/>
          <w:color w:val="auto"/>
          <w:kern w:val="0"/>
          <w:sz w:val="24"/>
          <w:highlight w:val="none"/>
        </w:rPr>
      </w:pPr>
    </w:p>
    <w:p>
      <w:pPr>
        <w:pStyle w:val="17"/>
        <w:outlineLvl w:val="9"/>
        <w:rPr>
          <w:rFonts w:hint="eastAsia" w:ascii="仿宋" w:hAnsi="仿宋" w:eastAsia="仿宋" w:cs="仿宋"/>
          <w:color w:val="auto"/>
          <w:kern w:val="0"/>
          <w:sz w:val="24"/>
          <w:highlight w:val="none"/>
        </w:rPr>
      </w:pPr>
    </w:p>
    <w:p>
      <w:pPr>
        <w:spacing w:line="420" w:lineRule="exact"/>
        <w:ind w:firstLine="490" w:firstLineChars="200"/>
        <w:jc w:val="center"/>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投标人：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（公章）</w:t>
      </w:r>
    </w:p>
    <w:p>
      <w:pPr>
        <w:outlineLvl w:val="9"/>
        <w:rPr>
          <w:rFonts w:hint="eastAsia"/>
          <w:highlight w:val="none"/>
        </w:rPr>
      </w:pPr>
    </w:p>
    <w:p>
      <w:pPr>
        <w:wordWrap w:val="0"/>
        <w:spacing w:line="420" w:lineRule="exact"/>
        <w:ind w:right="480" w:firstLine="490" w:firstLineChars="200"/>
        <w:jc w:val="center"/>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日 </w:t>
      </w:r>
    </w:p>
    <w:p>
      <w:pPr>
        <w:pStyle w:val="2"/>
        <w:numPr>
          <w:ilvl w:val="0"/>
          <w:numId w:val="0"/>
        </w:numPr>
        <w:kinsoku w:val="0"/>
        <w:overflowPunct w:val="0"/>
        <w:spacing w:before="34" w:line="357" w:lineRule="auto"/>
        <w:ind w:left="480" w:leftChars="0" w:right="126" w:rightChars="0"/>
        <w:jc w:val="center"/>
        <w:outlineLvl w:val="9"/>
        <w:rPr>
          <w:rFonts w:hint="eastAsia" w:ascii="仿宋" w:hAnsi="仿宋" w:eastAsia="仿宋" w:cs="仿宋"/>
          <w:b/>
          <w:bCs/>
          <w:color w:val="auto"/>
          <w:szCs w:val="21"/>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36"/>
          <w:szCs w:val="36"/>
          <w:highlight w:val="none"/>
          <w:lang w:val="en-US" w:eastAsia="zh-CN"/>
        </w:rPr>
        <w:t>3</w:t>
      </w:r>
      <w:r>
        <w:rPr>
          <w:rFonts w:hint="eastAsia" w:ascii="仿宋" w:hAnsi="仿宋" w:eastAsia="仿宋" w:cs="仿宋"/>
          <w:b/>
          <w:bCs/>
          <w:color w:val="auto"/>
          <w:sz w:val="36"/>
          <w:szCs w:val="36"/>
          <w:highlight w:val="none"/>
        </w:rPr>
        <w:t>、授权委托书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致：采购人名称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本授权书声明：注册于（投标人地址）的（投标人名称）法定代表人（负责人）姓名、职务或职称）代表本公司授权（姓名）为本单位的合法代理人，参与贵方组织的（项目名称及项目编号） 的投标、谈判、签约等具体工作，并签署全部有关文件、协议及合同。</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我单位对被授权人的上述经济活动负全部责任。在撤销授权的书面通知前，本授权书一直有效。被授权人在授权书有效期内签署的所有文件不因授权的撤消而失效。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pStyle w:val="2"/>
        <w:tabs>
          <w:tab w:val="left" w:pos="780"/>
        </w:tabs>
        <w:kinsoku w:val="0"/>
        <w:overflowPunct w:val="0"/>
        <w:adjustRightInd w:val="0"/>
        <w:snapToGrid w:val="0"/>
        <w:spacing w:before="12"/>
        <w:outlineLvl w:val="9"/>
        <w:rPr>
          <w:rFonts w:hint="eastAsia" w:ascii="仿宋" w:hAnsi="仿宋" w:eastAsia="仿宋" w:cs="仿宋"/>
          <w:color w:val="auto"/>
          <w:sz w:val="4"/>
          <w:szCs w:val="4"/>
          <w:highlight w:val="none"/>
        </w:rPr>
      </w:pPr>
    </w:p>
    <w:p>
      <w:pPr>
        <w:pStyle w:val="2"/>
        <w:numPr>
          <w:ilvl w:val="0"/>
          <w:numId w:val="0"/>
        </w:numPr>
        <w:kinsoku w:val="0"/>
        <w:overflowPunct w:val="0"/>
        <w:adjustRightInd w:val="0"/>
        <w:snapToGrid w:val="0"/>
        <w:spacing w:line="200" w:lineRule="atLeast"/>
        <w:ind w:right="1947" w:rightChars="795"/>
        <w:jc w:val="center"/>
        <w:outlineLvl w:val="9"/>
        <w:rPr>
          <w:rFonts w:hint="eastAsia" w:ascii="仿宋" w:hAnsi="仿宋" w:eastAsia="仿宋" w:cs="仿宋"/>
          <w:color w:val="auto"/>
          <w:sz w:val="18"/>
          <w:szCs w:val="20"/>
          <w:highlight w:val="none"/>
        </w:rPr>
      </w:pPr>
      <w:r>
        <w:rPr>
          <w:rFonts w:hint="eastAsia" w:ascii="仿宋" w:hAnsi="仿宋" w:eastAsia="仿宋" w:cs="仿宋"/>
          <w:color w:val="auto"/>
          <w:sz w:val="18"/>
          <w:szCs w:val="20"/>
          <w:highlight w:val="none"/>
        </w:rPr>
        <mc:AlternateContent>
          <mc:Choice Requires="wpg">
            <w:drawing>
              <wp:inline distT="0" distB="0" distL="114300" distR="114300">
                <wp:extent cx="5136515" cy="1458595"/>
                <wp:effectExtent l="0" t="0" r="50800" b="33020"/>
                <wp:docPr id="28" name="组合 28"/>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33" name="任意多边形 1"/>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2" name="任意多边形 2"/>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 name="任意多边形 3"/>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 name="任意多边形 4"/>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5" name="任意多边形 5"/>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6" name="任意多边形 6"/>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7" name="任意多边形 7"/>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8" name="任意多边形 8"/>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9" name="任意多边形 9"/>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 name="任意多边形 10"/>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11" name="文本框 11"/>
                        <wps:cNvSpPr txBox="1"/>
                        <wps:spPr>
                          <a:xfrm>
                            <a:off x="19"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2"/>
                                <w:numPr>
                                  <w:ilvl w:val="0"/>
                                  <w:numId w:val="0"/>
                                </w:numPr>
                                <w:kinsoku w:val="0"/>
                                <w:overflowPunct w:val="0"/>
                                <w:spacing w:before="12"/>
                                <w:ind w:leftChars="0" w:right="0" w:rightChars="0"/>
                                <w:rPr>
                                  <w:rFonts w:hint="eastAsia" w:ascii="仿宋" w:hAnsi="仿宋" w:eastAsia="仿宋" w:cs="仿宋"/>
                                  <w:b w:val="0"/>
                                  <w:bCs w:val="0"/>
                                  <w:sz w:val="28"/>
                                  <w:szCs w:val="28"/>
                                </w:rPr>
                              </w:pPr>
                            </w:p>
                            <w:p>
                              <w:pPr>
                                <w:pStyle w:val="2"/>
                                <w:numPr>
                                  <w:ilvl w:val="0"/>
                                  <w:numId w:val="0"/>
                                </w:numPr>
                                <w:kinsoku w:val="0"/>
                                <w:overflowPunct w:val="0"/>
                                <w:ind w:right="0" w:rightChars="0"/>
                                <w:jc w:val="center"/>
                                <w:rPr>
                                  <w:rFonts w:hint="eastAsia" w:ascii="仿宋" w:hAnsi="仿宋" w:eastAsia="仿宋" w:cs="仿宋"/>
                                </w:rPr>
                              </w:pPr>
                            </w:p>
                            <w:p>
                              <w:pPr>
                                <w:pStyle w:val="2"/>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授权人身份证复印件（正面）</w:t>
                              </w:r>
                            </w:p>
                          </w:txbxContent>
                        </wps:txbx>
                        <wps:bodyPr lIns="0" tIns="0" rIns="0" bIns="0" upright="1"/>
                      </wps:wsp>
                      <wps:wsp>
                        <wps:cNvPr id="12" name="文本框 12"/>
                        <wps:cNvSpPr txBox="1"/>
                        <wps:spPr>
                          <a:xfrm>
                            <a:off x="4044"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2"/>
                                <w:numPr>
                                  <w:ilvl w:val="0"/>
                                  <w:numId w:val="0"/>
                                </w:numPr>
                                <w:shd w:val="clear" w:color="auto" w:fill="auto"/>
                                <w:kinsoku w:val="0"/>
                                <w:overflowPunct w:val="0"/>
                                <w:ind w:right="0" w:rightChars="0"/>
                                <w:jc w:val="center"/>
                                <w:rPr>
                                  <w:rFonts w:hint="eastAsia" w:ascii="仿宋" w:hAnsi="仿宋" w:eastAsia="仿宋" w:cs="仿宋"/>
                                </w:rPr>
                              </w:pPr>
                            </w:p>
                            <w:p>
                              <w:pPr>
                                <w:pStyle w:val="2"/>
                                <w:numPr>
                                  <w:ilvl w:val="0"/>
                                  <w:numId w:val="0"/>
                                </w:numPr>
                                <w:shd w:val="clear" w:color="auto" w:fill="auto"/>
                                <w:kinsoku w:val="0"/>
                                <w:overflowPunct w:val="0"/>
                                <w:ind w:right="0" w:rightChars="0"/>
                                <w:jc w:val="center"/>
                                <w:rPr>
                                  <w:rFonts w:hint="eastAsia" w:ascii="仿宋" w:hAnsi="仿宋" w:eastAsia="仿宋" w:cs="仿宋"/>
                                </w:rPr>
                              </w:pPr>
                            </w:p>
                            <w:p>
                              <w:pPr>
                                <w:pStyle w:val="2"/>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2"/>
                                <w:numPr>
                                  <w:ilvl w:val="0"/>
                                  <w:numId w:val="0"/>
                                </w:numPr>
                                <w:shd w:val="clear" w:color="auto" w:fill="auto"/>
                                <w:kinsoku w:val="0"/>
                                <w:overflowPunct w:val="0"/>
                                <w:ind w:right="0" w:rightChars="0"/>
                                <w:jc w:val="center"/>
                                <w:rPr>
                                  <w:rFonts w:hint="eastAsia" w:ascii="仿宋" w:hAnsi="仿宋" w:eastAsia="仿宋" w:cs="仿宋"/>
                                  <w:sz w:val="24"/>
                                  <w:szCs w:val="24"/>
                                </w:rPr>
                              </w:pPr>
                              <w:r>
                                <w:rPr>
                                  <w:rFonts w:hint="eastAsia" w:ascii="仿宋" w:hAnsi="仿宋" w:eastAsia="仿宋" w:cs="仿宋"/>
                                  <w:b/>
                                  <w:bCs/>
                                  <w:sz w:val="24"/>
                                  <w:szCs w:val="24"/>
                                </w:rPr>
                                <w:t>授权人身份证复印件（反面）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">
                <o:lock v:ext="edit" rotation="t" aspectratio="f"/>
                <v:shape id="任意多边形 1" o:spid="_x0000_s1026" o:spt="100" style="position:absolute;left:4;top:9;height:20;width:8079;" filled="f" stroked="t" coordsize="8079,20" o:gfxdata="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7C4NG8AAAA&#10;2w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BtvKxbsAAADa&#10;AAAADwAAAGRycy9kb3ducmV2LnhtbEWPQYvCMBSE7wv+h/AEb2tSwWWtRg+KIC572OoPeDTPtrR5&#10;KUnU6q83Cwt7HGbmG2a1GWwnbuRD41hDNlUgiEtnGq40nE/7908QISIb7ByThgcF2KxHbyvMjbvz&#10;D92KWIkE4ZCjhjrGPpcylDVZDFPXEyfv4rzFmKSvpPF4T3DbyZlSH9Jiw2mhxp62NZVtcbUadt6f&#10;vmV/KZ7Hr53LKtXOF0Or9WScqSWISEP8D/+1D0bDDH6vpBs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vKxbsAAADa&#10;AAAADwAAAAAAAAABACAAAAAiAAAAZHJzL2Rvd25yZXYueG1sUEsBAhQAFAAAAAgAh07iQDMvBZ47&#10;AAAAOQAAABAAAAAAAAAAAQAgAAAACgEAAGRycy9zaGFwZXhtbC54bWxQSwUGAAAAAAYABgBbAQAA&#10;tAM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aZdvXrwAAADa&#10;AAAADwAAAGRycy9kb3ducmV2LnhtbEWPQWsCMRSE7wX/Q3iCt5qs0qKr0YMiSEsPXf0Bj81zd9nN&#10;y5JEXf31TaHQ4zAz3zDr7WA7cSMfGscasqkCQVw603Cl4Xw6vC5AhIhssHNMGh4UYLsZvawxN+7O&#10;33QrYiUShEOOGuoY+1zKUNZkMUxdT5y8i/MWY5K+ksbjPcFtJ2dKvUuLDaeFGnva1VS2xdVq2Ht/&#10;+pL9pXh+fO5dVqn2bTm0Wk/GmVqBiDTE//Bf+2g0zOH3SroB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b168AAAA&#10;2gAAAA8AAAAAAAAAAQAgAAAAIgAAAGRycy9kb3ducmV2LnhtbFBLAQIUABQAAAAIAIdO4kAzLwWe&#10;OwAAADkAAAAQAAAAAAAAAAEAIAAAAAsBAABkcnMvc2hhcGV4bWwueG1sUEsFBgAAAAAGAAYAWwEA&#10;ALUDA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fEKzhbwAAADa&#10;AAAADwAAAGRycy9kb3ducmV2LnhtbEWPQWsCMRSE70L/Q3iF3jRxqVK2Rg9StbQntx48PjZvN4ub&#10;lyWJuv33TaHQ4zAz3zCrzeh6caMQO88a5jMFgrj2puNWw+lrN30BEROywd4zafimCJv1w2SFpfF3&#10;PtKtSq3IEI4larApDaWUsbbkMM78QJy9xgeHKcvQShPwnuGul4VSS+mw47xgcaCtpfpSXZ2Gz6Yp&#10;LkEVH4v94Q1xXHTt2W61fnqcq1cQicb0H/5rvxsNz/B7Jd8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Cs4W8AAAA&#10;2g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3+MWGLsAAADa&#10;AAAADwAAAGRycy9kb3ducmV2LnhtbEWPQWsCMRSE74L/IbyCF6mJgmXdGj2IBcGTW70/Ns/N0s3L&#10;mqRq++uNUOhxmJlvmOX67jpxpRBbzxqmEwWCuPam5UbD8fPjtQARE7LBzjNp+KEI69VwsMTS+Bsf&#10;6FqlRmQIxxI12JT6UspYW3IYJ74nzt7ZB4cpy9BIE/CW4a6TM6XepMOW84LFnjaW6q/q22n4PY93&#10;863FbVUXJ7UvFpsLhkrr0ctUvYNIdE//4b/2zmiYw/NKvg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MWGLsAAADa&#10;AAAADwAAAAAAAAABACAAAAAiAAAAZHJzL2Rvd25yZXYueG1sUEsBAhQAFAAAAAgAh07iQDMvBZ47&#10;AAAAOQAAABAAAAAAAAAAAQAgAAAACgEAAGRycy9zaGFwZXhtbC54bWxQSwUGAAAAAAYABgBbAQAA&#10;tAM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RHZDJ74AAADa&#10;AAAADwAAAGRycy9kb3ducmV2LnhtbEWPT4vCMBTE7wt+h/AEL4umyiJaG0V2EXpYcP1z0NujebbV&#10;5qU00eq3N8KCx2FmfsMki7upxI0aV1pWMBxEIIgzq0vOFex3q/4EhPPIGivLpOBBDhbzzkeCsbYt&#10;b+i29bkIEHYxKii8r2MpXVaQQTewNXHwTrYx6INscqkbbAPcVHIURWNpsOSwUGBN3wVll+3VKGjT&#10;H1nu/Tr7zDe/u6/pYVmfj39K9brDaAbC092/w//tVCsYw+tKuA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ZDJ74A&#10;AADaAAAADwAAAAAAAAABACAAAAAiAAAAZHJzL2Rvd25yZXYueG1sUEsBAhQAFAAAAAgAh07iQDMv&#10;BZ47AAAAOQAAABAAAAAAAAAAAQAgAAAADQEAAGRycy9zaGFwZXhtbC54bWxQSwUGAAAAAAYABgBb&#10;AQAAtwM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7KgH77oAAADa&#10;AAAADwAAAGRycy9kb3ducmV2LnhtbEWPW4vCMBSE34X9D+EI+6apiu5SjbIUFvZJ8NL3Q3Nsis1J&#10;m8TL/nsjCD4OM/MNs9rcbSuu5EPjWMFknIEgrpxuuFZwPPyOvkGEiKyxdUwK/inAZv0xWGGu3Y13&#10;dN3HWiQIhxwVmBi7XMpQGbIYxq4jTt7JeYsxSV9L7fGW4LaV0yxbSIsNpwWDHRWGqvP+YhX4KhS6&#10;n/WmLPptyT/YucVsrtTncJItQUS6x3f41f7TCr7g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qAfv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nTeTnbYAAADa&#10;AAAADwAAAGRycy9kb3ducmV2LnhtbEVPy4rCMBTdC/5DuMLsNHVEkWpahoIwK2HU7i/NtSnT3LRJ&#10;fP39ZDHg8nDe+/Jpe3EnHzrHCpaLDARx43THrYLL+TDfgggRWWPvmBS8KEBZTCd7zLV78A/dT7EV&#10;KYRDjgpMjEMuZWgMWQwLNxAn7uq8xZigb6X2+EjhtpefWbaRFjtODQYHqgw1v6ebVeCbUOlxNZq6&#10;Go81f+HgNqu1Uh+zZbYDEekZ3+J/97dWkLamK+kGyOI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03k522AAAA2gAAAA8A&#10;AAAAAAAAAQAgAAAAIgAAAGRycy9kb3ducmV2LnhtbFBLAQIUABQAAAAIAIdO4kAzLwWeOwAAADkA&#10;AAAQAAAAAAAAAAEAIAAAAAUBAABkcnMvc2hhcGV4bWwueG1sUEsFBgAAAAAGAAYAWwEAAK8DAAAA&#10;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8ns2BroAAADa&#10;AAAADwAAAGRycy9kb3ducmV2LnhtbEWPW4vCMBSE34X9D+EI+6apirJbjbIUFvZJ8NL3Q3Nsis1J&#10;m8TL/nsjCD4OM/MNs9rcbSuu5EPjWMFknIEgrpxuuFZwPPyOvkCEiKyxdUwK/inAZv0xWGGu3Y13&#10;dN3HWiQIhxwVmBi7XMpQGbIYxq4jTt7JeYsxSV9L7fGW4LaV0yxbSIsNpwWDHRWGqvP+YhX4KhS6&#10;n/WmLPptyT/YucVsrtTncJItQUS6x3f41f7TCr7h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ezYG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AFAghb4AAADb&#10;AAAADwAAAGRycy9kb3ducmV2LnhtbEWPT2vCQBDF74V+h2UEb3VjLcVGV6HFf5dSmgpex+yYDWZn&#10;Q3aN9ts7h0JvM7w37/1mvrz5RvXUxTqwgfEoA0VcBltzZWD/s36agooJ2WITmAz8UoTl4vFhjrkN&#10;V/6mvkiVkhCOORpwKbW51rF05DGOQkss2il0HpOsXaVth1cJ941+zrJX7bFmaXDY0oej8lxcvIFz&#10;7N378WWz/Zrw2+e0OK7aw2llzHAwzmagEt3Sv/nvemcFX+jlFxlAL+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Aghb4A&#10;AADbAAAADwAAAAAAAAABACAAAAAiAAAAZHJzL2Rvd25yZXYueG1sUEsBAhQAFAAAAAgAh07iQDMv&#10;BZ47AAAAOQAAABAAAAAAAAAAAQAgAAAADQEAAGRycy9zaGFwZXhtbC54bWxQSwUGAAAAAAYABgBb&#10;AQAAtwMAAAAA&#10;" path="m0,0l0,2277e">
                  <v:fill on="f" focussize="0,0"/>
                  <v:stroke weight="0.48pt" color="#000000" joinstyle="round"/>
                  <v:imagedata o:title=""/>
                  <o:lock v:ext="edit" aspectratio="f"/>
                </v:shape>
                <v:shape id="_x0000_s1026" o:spid="_x0000_s1026" o:spt="202" type="#_x0000_t202" style="position:absolute;left:19;top:19;height:2258;width:4025;" filled="f" stroked="t" coordsize="21600,21600" o:gfxdata="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G7k2K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2"/>
                          <w:numPr>
                            <w:ilvl w:val="0"/>
                            <w:numId w:val="0"/>
                          </w:numPr>
                          <w:kinsoku w:val="0"/>
                          <w:overflowPunct w:val="0"/>
                          <w:spacing w:before="12"/>
                          <w:ind w:leftChars="0" w:right="0" w:rightChars="0"/>
                          <w:rPr>
                            <w:rFonts w:hint="eastAsia" w:ascii="仿宋" w:hAnsi="仿宋" w:eastAsia="仿宋" w:cs="仿宋"/>
                            <w:b w:val="0"/>
                            <w:bCs w:val="0"/>
                            <w:sz w:val="28"/>
                            <w:szCs w:val="28"/>
                          </w:rPr>
                        </w:pPr>
                      </w:p>
                      <w:p>
                        <w:pPr>
                          <w:pStyle w:val="2"/>
                          <w:numPr>
                            <w:ilvl w:val="0"/>
                            <w:numId w:val="0"/>
                          </w:numPr>
                          <w:kinsoku w:val="0"/>
                          <w:overflowPunct w:val="0"/>
                          <w:ind w:right="0" w:rightChars="0"/>
                          <w:jc w:val="center"/>
                          <w:rPr>
                            <w:rFonts w:hint="eastAsia" w:ascii="仿宋" w:hAnsi="仿宋" w:eastAsia="仿宋" w:cs="仿宋"/>
                          </w:rPr>
                        </w:pPr>
                      </w:p>
                      <w:p>
                        <w:pPr>
                          <w:pStyle w:val="2"/>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授权人身份证复印件（正面）</w:t>
                        </w:r>
                      </w:p>
                    </w:txbxContent>
                  </v:textbox>
                </v:shape>
                <v:shape id="_x0000_s1026" o:spid="_x0000_s1026" o:spt="202" type="#_x0000_t202" style="position:absolute;left:4044;top:19;height:2258;width:4025;" filled="f" stroked="t" coordsize="21600,21600" o:gfxdata="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FpDRW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2"/>
                          <w:numPr>
                            <w:ilvl w:val="0"/>
                            <w:numId w:val="0"/>
                          </w:numPr>
                          <w:shd w:val="clear" w:color="auto" w:fill="auto"/>
                          <w:kinsoku w:val="0"/>
                          <w:overflowPunct w:val="0"/>
                          <w:ind w:right="0" w:rightChars="0"/>
                          <w:jc w:val="center"/>
                          <w:rPr>
                            <w:rFonts w:hint="eastAsia" w:ascii="仿宋" w:hAnsi="仿宋" w:eastAsia="仿宋" w:cs="仿宋"/>
                          </w:rPr>
                        </w:pPr>
                      </w:p>
                      <w:p>
                        <w:pPr>
                          <w:pStyle w:val="2"/>
                          <w:numPr>
                            <w:ilvl w:val="0"/>
                            <w:numId w:val="0"/>
                          </w:numPr>
                          <w:shd w:val="clear" w:color="auto" w:fill="auto"/>
                          <w:kinsoku w:val="0"/>
                          <w:overflowPunct w:val="0"/>
                          <w:ind w:right="0" w:rightChars="0"/>
                          <w:jc w:val="center"/>
                          <w:rPr>
                            <w:rFonts w:hint="eastAsia" w:ascii="仿宋" w:hAnsi="仿宋" w:eastAsia="仿宋" w:cs="仿宋"/>
                          </w:rPr>
                        </w:pPr>
                      </w:p>
                      <w:p>
                        <w:pPr>
                          <w:pStyle w:val="2"/>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2"/>
                          <w:numPr>
                            <w:ilvl w:val="0"/>
                            <w:numId w:val="0"/>
                          </w:numPr>
                          <w:shd w:val="clear" w:color="auto" w:fill="auto"/>
                          <w:kinsoku w:val="0"/>
                          <w:overflowPunct w:val="0"/>
                          <w:ind w:right="0" w:rightChars="0"/>
                          <w:jc w:val="center"/>
                          <w:rPr>
                            <w:rFonts w:hint="eastAsia" w:ascii="仿宋" w:hAnsi="仿宋" w:eastAsia="仿宋" w:cs="仿宋"/>
                            <w:sz w:val="24"/>
                            <w:szCs w:val="24"/>
                          </w:rPr>
                        </w:pPr>
                        <w:r>
                          <w:rPr>
                            <w:rFonts w:hint="eastAsia" w:ascii="仿宋" w:hAnsi="仿宋" w:eastAsia="仿宋" w:cs="仿宋"/>
                            <w:b/>
                            <w:bCs/>
                            <w:sz w:val="24"/>
                            <w:szCs w:val="24"/>
                          </w:rPr>
                          <w:t>授权人身份证复印件（反面）</w:t>
                        </w:r>
                      </w:p>
                    </w:txbxContent>
                  </v:textbox>
                </v:shape>
                <w10:wrap type="none"/>
                <w10:anchorlock/>
              </v:group>
            </w:pict>
          </mc:Fallback>
        </mc:AlternateContent>
      </w:r>
    </w:p>
    <w:p>
      <w:pPr>
        <w:pStyle w:val="2"/>
        <w:numPr>
          <w:ilvl w:val="0"/>
          <w:numId w:val="0"/>
        </w:numPr>
        <w:kinsoku w:val="0"/>
        <w:overflowPunct w:val="0"/>
        <w:adjustRightInd w:val="0"/>
        <w:snapToGrid w:val="0"/>
        <w:spacing w:line="200" w:lineRule="atLeast"/>
        <w:ind w:right="0" w:rightChars="0"/>
        <w:outlineLvl w:val="9"/>
        <w:rPr>
          <w:rFonts w:hint="eastAsia" w:ascii="仿宋" w:hAnsi="仿宋" w:eastAsia="仿宋" w:cs="仿宋"/>
          <w:color w:val="auto"/>
          <w:sz w:val="18"/>
          <w:szCs w:val="20"/>
          <w:highlight w:val="none"/>
        </w:rPr>
      </w:pPr>
      <w:r>
        <w:rPr>
          <w:rFonts w:hint="eastAsia" w:ascii="仿宋" w:hAnsi="仿宋" w:eastAsia="仿宋" w:cs="仿宋"/>
          <w:color w:val="auto"/>
          <w:sz w:val="18"/>
          <w:szCs w:val="20"/>
          <w:highlight w:val="none"/>
        </w:rPr>
        <mc:AlternateContent>
          <mc:Choice Requires="wpg">
            <w:drawing>
              <wp:inline distT="0" distB="0" distL="114300" distR="114300">
                <wp:extent cx="5137150" cy="1384935"/>
                <wp:effectExtent l="0" t="0" r="53340" b="49530"/>
                <wp:docPr id="36" name="组合 36"/>
                <wp:cNvGraphicFramePr/>
                <a:graphic xmlns:a="http://schemas.openxmlformats.org/drawingml/2006/main">
                  <a:graphicData uri="http://schemas.microsoft.com/office/word/2010/wordprocessingGroup">
                    <wpg:wgp>
                      <wpg:cNvGrpSpPr>
                        <a:grpSpLocks noRot="1"/>
                      </wpg:cNvGrpSpPr>
                      <wpg:grpSpPr>
                        <a:xfrm>
                          <a:off x="0" y="0"/>
                          <a:ext cx="5137150" cy="1384935"/>
                          <a:chOff x="0" y="0"/>
                          <a:chExt cx="8089" cy="2181"/>
                        </a:xfrm>
                      </wpg:grpSpPr>
                      <wps:wsp>
                        <wps:cNvPr id="37" name="任意多边形 34"/>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38" name="任意多边形 35"/>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9" name="任意多边形 36"/>
                        <wps:cNvSpPr/>
                        <wps:spPr>
                          <a:xfrm>
                            <a:off x="24" y="2151"/>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0" name="任意多边形 37"/>
                        <wps:cNvSpPr/>
                        <wps:spPr>
                          <a:xfrm>
                            <a:off x="4" y="2170"/>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41" name="任意多边形 38"/>
                        <wps:cNvSpPr/>
                        <wps:spPr>
                          <a:xfrm>
                            <a:off x="9" y="4"/>
                            <a:ext cx="20" cy="2171"/>
                          </a:xfrm>
                          <a:custGeom>
                            <a:avLst/>
                            <a:gdLst/>
                            <a:ahLst/>
                            <a:cxnLst/>
                            <a:pathLst>
                              <a:path w="20" h="2171">
                                <a:moveTo>
                                  <a:pt x="0" y="0"/>
                                </a:moveTo>
                                <a:lnTo>
                                  <a:pt x="0" y="2170"/>
                                </a:lnTo>
                              </a:path>
                            </a:pathLst>
                          </a:custGeom>
                          <a:noFill/>
                          <a:ln w="6096" cap="flat" cmpd="sng">
                            <a:solidFill>
                              <a:srgbClr val="000000"/>
                            </a:solidFill>
                            <a:prstDash val="solid"/>
                            <a:headEnd type="none" w="med" len="med"/>
                            <a:tailEnd type="none" w="med" len="med"/>
                          </a:ln>
                        </wps:spPr>
                        <wps:bodyPr upright="1"/>
                      </wps:wsp>
                      <wps:wsp>
                        <wps:cNvPr id="42" name="任意多边形 39"/>
                        <wps:cNvSpPr/>
                        <wps:spPr>
                          <a:xfrm>
                            <a:off x="28" y="24"/>
                            <a:ext cx="20" cy="2133"/>
                          </a:xfrm>
                          <a:custGeom>
                            <a:avLst/>
                            <a:gdLst/>
                            <a:ahLst/>
                            <a:cxnLst/>
                            <a:pathLst>
                              <a:path w="20" h="2133">
                                <a:moveTo>
                                  <a:pt x="0" y="0"/>
                                </a:moveTo>
                                <a:lnTo>
                                  <a:pt x="0" y="2132"/>
                                </a:lnTo>
                              </a:path>
                            </a:pathLst>
                          </a:custGeom>
                          <a:noFill/>
                          <a:ln w="6096" cap="flat" cmpd="sng">
                            <a:solidFill>
                              <a:srgbClr val="000000"/>
                            </a:solidFill>
                            <a:prstDash val="solid"/>
                            <a:headEnd type="none" w="med" len="med"/>
                            <a:tailEnd type="none" w="med" len="med"/>
                          </a:ln>
                        </wps:spPr>
                        <wps:bodyPr upright="1"/>
                      </wps:wsp>
                      <wps:wsp>
                        <wps:cNvPr id="43" name="任意多边形 40"/>
                        <wps:cNvSpPr/>
                        <wps:spPr>
                          <a:xfrm>
                            <a:off x="4034"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4" name="任意多边形 41"/>
                        <wps:cNvSpPr/>
                        <wps:spPr>
                          <a:xfrm>
                            <a:off x="4053"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5" name="任意多边形 42"/>
                        <wps:cNvSpPr/>
                        <wps:spPr>
                          <a:xfrm>
                            <a:off x="8059" y="33"/>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6" name="任意多边形 43"/>
                        <wps:cNvSpPr/>
                        <wps:spPr>
                          <a:xfrm>
                            <a:off x="8078" y="14"/>
                            <a:ext cx="20" cy="2162"/>
                          </a:xfrm>
                          <a:custGeom>
                            <a:avLst/>
                            <a:gdLst/>
                            <a:ahLst/>
                            <a:cxnLst/>
                            <a:pathLst>
                              <a:path w="20" h="2162">
                                <a:moveTo>
                                  <a:pt x="0" y="0"/>
                                </a:moveTo>
                                <a:lnTo>
                                  <a:pt x="0" y="2161"/>
                                </a:lnTo>
                              </a:path>
                            </a:pathLst>
                          </a:custGeom>
                          <a:noFill/>
                          <a:ln w="6096" cap="flat" cmpd="sng">
                            <a:solidFill>
                              <a:srgbClr val="000000"/>
                            </a:solidFill>
                            <a:prstDash val="solid"/>
                            <a:headEnd type="none" w="med" len="med"/>
                            <a:tailEnd type="none" w="med" len="med"/>
                          </a:ln>
                        </wps:spPr>
                        <wps:bodyPr upright="1"/>
                      </wps:wsp>
                      <wps:wsp>
                        <wps:cNvPr id="47" name="文本框 44"/>
                        <wps:cNvSpPr txBox="1"/>
                        <wps:spPr>
                          <a:xfrm>
                            <a:off x="19" y="19"/>
                            <a:ext cx="4025" cy="2142"/>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2"/>
                                <w:numPr>
                                  <w:ilvl w:val="0"/>
                                  <w:numId w:val="0"/>
                                </w:numPr>
                                <w:kinsoku w:val="0"/>
                                <w:overflowPunct w:val="0"/>
                                <w:ind w:right="0" w:rightChars="0"/>
                                <w:rPr>
                                  <w:rFonts w:hint="eastAsia"/>
                                </w:rPr>
                              </w:pPr>
                            </w:p>
                            <w:p>
                              <w:pPr>
                                <w:pStyle w:val="2"/>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2"/>
                                <w:numPr>
                                  <w:ilvl w:val="0"/>
                                  <w:numId w:val="0"/>
                                </w:numPr>
                                <w:shd w:val="clear" w:color="auto" w:fill="auto"/>
                                <w:kinsoku w:val="0"/>
                                <w:overflowPunct w:val="0"/>
                                <w:ind w:right="0" w:rightChars="0"/>
                                <w:jc w:val="center"/>
                                <w:rPr>
                                  <w:b/>
                                  <w:bCs/>
                                </w:rPr>
                              </w:pPr>
                              <w:r>
                                <w:rPr>
                                  <w:rFonts w:hint="eastAsia" w:ascii="仿宋" w:hAnsi="仿宋" w:eastAsia="仿宋" w:cs="仿宋"/>
                                  <w:b/>
                                  <w:bCs/>
                                  <w:sz w:val="24"/>
                                  <w:szCs w:val="24"/>
                                </w:rPr>
                                <w:t>被授权代表身份证复印件（正面）</w:t>
                              </w:r>
                            </w:p>
                          </w:txbxContent>
                        </wps:txbx>
                        <wps:bodyPr lIns="0" tIns="0" rIns="0" bIns="0" upright="1"/>
                      </wps:wsp>
                      <wps:wsp>
                        <wps:cNvPr id="48" name="文本框 45"/>
                        <wps:cNvSpPr txBox="1"/>
                        <wps:spPr>
                          <a:xfrm>
                            <a:off x="4044" y="19"/>
                            <a:ext cx="4025" cy="2142"/>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2"/>
                                <w:numPr>
                                  <w:ilvl w:val="0"/>
                                  <w:numId w:val="0"/>
                                </w:numPr>
                                <w:kinsoku w:val="0"/>
                                <w:overflowPunct w:val="0"/>
                                <w:ind w:right="0" w:rightChars="0"/>
                                <w:rPr>
                                  <w:rFonts w:hint="eastAsia"/>
                                </w:rPr>
                              </w:pPr>
                            </w:p>
                            <w:p>
                              <w:pPr>
                                <w:pStyle w:val="2"/>
                                <w:numPr>
                                  <w:ilvl w:val="0"/>
                                  <w:numId w:val="0"/>
                                </w:numPr>
                                <w:shd w:val="clear" w:color="auto" w:fill="auto"/>
                                <w:kinsoku w:val="0"/>
                                <w:overflowPunct w:val="0"/>
                                <w:ind w:right="0" w:rightChars="0"/>
                                <w:rPr>
                                  <w:rFonts w:hint="eastAsia" w:ascii="仿宋" w:hAnsi="仿宋" w:eastAsia="仿宋" w:cs="仿宋"/>
                                  <w:sz w:val="24"/>
                                  <w:szCs w:val="24"/>
                                </w:rPr>
                              </w:pPr>
                            </w:p>
                            <w:p>
                              <w:pPr>
                                <w:pStyle w:val="2"/>
                                <w:numPr>
                                  <w:ilvl w:val="0"/>
                                  <w:numId w:val="0"/>
                                </w:numPr>
                                <w:shd w:val="clear" w:color="auto" w:fill="auto"/>
                                <w:kinsoku w:val="0"/>
                                <w:overflowPunct w:val="0"/>
                                <w:ind w:right="0" w:rightChars="0" w:firstLine="241" w:firstLineChars="100"/>
                                <w:rPr>
                                  <w:b/>
                                  <w:bCs/>
                                </w:rPr>
                              </w:pPr>
                              <w:r>
                                <w:rPr>
                                  <w:rFonts w:hint="eastAsia" w:ascii="仿宋" w:hAnsi="仿宋" w:eastAsia="仿宋" w:cs="仿宋"/>
                                  <w:b/>
                                  <w:bCs/>
                                  <w:sz w:val="24"/>
                                  <w:szCs w:val="24"/>
                                </w:rPr>
                                <w:t>被授权代表身份证复印件（反面）</w:t>
                              </w:r>
                            </w:p>
                          </w:txbxContent>
                        </wps:txbx>
                        <wps:bodyPr lIns="0" tIns="0" rIns="0" bIns="0" upright="1"/>
                      </wps:wsp>
                    </wpg:wgp>
                  </a:graphicData>
                </a:graphic>
              </wp:inline>
            </w:drawing>
          </mc:Choice>
          <mc:Fallback>
            <w:pict>
              <v:group id="_x0000_s1026" o:spid="_x0000_s1026" o:spt="203" style="height:109.05pt;width:404.5pt;" coordsize="8089,2181" o:gfxdata="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">
                <o:lock v:ext="edit" rotation="t" aspectratio="f"/>
                <v:shape id="任意多边形 34" o:spid="_x0000_s1026" o:spt="100" style="position:absolute;left:4;top:9;height:20;width:8079;" filled="f" stroked="t" coordsize="8079,20" o:gfxdata="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ebSvQAA&#10;ANsAAAAPAAAAAAAAAAEAIAAAACIAAABkcnMvZG93bnJldi54bWxQSwECFAAUAAAACACHTuJAMy8F&#10;njsAAAA5AAAAEAAAAAAAAAABACAAAAAMAQAAZHJzL3NoYXBleG1sLnhtbFBLBQYAAAAABgAGAFsB&#10;AAC2AwAAAAA=&#10;" path="m0,0l8078,0e">
                  <v:fill on="f" focussize="0,0"/>
                  <v:stroke weight="0.48pt" color="#000000" joinstyle="round"/>
                  <v:imagedata o:title=""/>
                  <o:lock v:ext="edit" aspectratio="f"/>
                </v:shape>
                <v:shape id="任意多边形 35" o:spid="_x0000_s1026" o:spt="100" style="position:absolute;left:24;top:28;height:20;width:8041;" filled="f" stroked="t" coordsize="8041,20" o:gfxdata="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WAew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任意多边形 36" o:spid="_x0000_s1026" o:spt="100" style="position:absolute;left:24;top:2151;height:20;width:8041;" filled="f" stroked="t" coordsize="8041,20" o:gfxdata="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FKIr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任意多边形 37" o:spid="_x0000_s1026" o:spt="100" style="position:absolute;left:4;top:2170;height:20;width:8079;" filled="f" stroked="t" coordsize="8079,20" o:gfxdata="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WDdu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任意多边形 38" o:spid="_x0000_s1026" o:spt="100" style="position:absolute;left:9;top:4;height:2171;width:20;" filled="f" stroked="t" coordsize="20,2171" o:gfxdata="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GrYT7sAAADb&#10;AAAADwAAAAAAAAABACAAAAAiAAAAZHJzL2Rvd25yZXYueG1sUEsBAhQAFAAAAAgAh07iQDMvBZ47&#10;AAAAOQAAABAAAAAAAAAAAQAgAAAACgEAAGRycy9zaGFwZXhtbC54bWxQSwUGAAAAAAYABgBbAQAA&#10;tAMAAAAA&#10;" path="m0,0l0,2170e">
                  <v:fill on="f" focussize="0,0"/>
                  <v:stroke weight="0.48pt" color="#000000" joinstyle="round"/>
                  <v:imagedata o:title=""/>
                  <o:lock v:ext="edit" aspectratio="f"/>
                </v:shape>
                <v:shape id="任意多边形 39" o:spid="_x0000_s1026" o:spt="100" style="position:absolute;left:28;top:24;height:2133;width:20;" filled="f" stroked="t" coordsize="20,2133" o:gfxdata="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3Uk7y/&#10;AAAA2wAAAA8AAAAAAAAAAQAgAAAAIgAAAGRycy9kb3ducmV2LnhtbFBLAQIUABQAAAAIAIdO4kAz&#10;LwWeOwAAADkAAAAQAAAAAAAAAAEAIAAAAA4BAABkcnMvc2hhcGV4bWwueG1sUEsFBgAAAAAGAAYA&#10;WwEAALgDAAAAAA==&#10;" path="m0,0l0,2132e">
                  <v:fill on="f" focussize="0,0"/>
                  <v:stroke weight="0.48pt" color="#000000" joinstyle="round"/>
                  <v:imagedata o:title=""/>
                  <o:lock v:ext="edit" aspectratio="f"/>
                </v:shape>
                <v:shape id="任意多边形 40" o:spid="_x0000_s1026" o:spt="100" style="position:absolute;left:4034;top:24;height:2123;width:20;" filled="f" stroked="t" coordsize="20,2123" o:gfxdata="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Y1HbS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1" o:spid="_x0000_s1026" o:spt="100" style="position:absolute;left:4053;top:24;height:2123;width:20;" filled="f" stroked="t" coordsize="20,2123" o:gfxdata="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chcC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2" o:spid="_x0000_s1026" o:spt="100" style="position:absolute;left:8059;top:33;height:2123;width:20;" filled="f" stroked="t" coordsize="20,2123" o:gfxdata="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QIFu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3" o:spid="_x0000_s1026" o:spt="100" style="position:absolute;left:8078;top:14;height:2162;width:20;" filled="f" stroked="t" coordsize="20,2162" o:gfxdata="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2cm0ztwAAANsAAAAP&#10;AAAAAAAAAAEAIAAAACIAAABkcnMvZG93bnJldi54bWxQSwECFAAUAAAACACHTuJAMy8FnjsAAAA5&#10;AAAAEAAAAAAAAAABACAAAAAGAQAAZHJzL3NoYXBleG1sLnhtbFBLBQYAAAAABgAGAFsBAACwAwAA&#10;AAA=&#10;" path="m0,0l0,2161e">
                  <v:fill on="f" focussize="0,0"/>
                  <v:stroke weight="0.48pt" color="#000000" joinstyle="round"/>
                  <v:imagedata o:title=""/>
                  <o:lock v:ext="edit" aspectratio="f"/>
                </v:shape>
                <v:shape id="文本框 44" o:spid="_x0000_s1026" o:spt="202" type="#_x0000_t202" style="position:absolute;left:19;top:19;height:2142;width:4025;" filled="f" stroked="t" coordsize="21600,21600" o:gfxdata="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rYGQvQAA&#10;ANsAAAAPAAAAAAAAAAEAIAAAACIAAABkcnMvZG93bnJldi54bWxQSwECFAAUAAAACACHTuJAMy8F&#10;njsAAAA5AAAAEAAAAAAAAAABACAAAAAMAQAAZHJzL3NoYXBleG1sLnhtbFBLBQYAAAAABgAGAFsB&#10;AAC2AwAAAAA=&#10;">
                  <v:fill on="f" focussize="0,0"/>
                  <v:stroke weight="1pt" color="#000000 [3200]" miterlimit="8" joinstyle="miter"/>
                  <v:imagedata o:title=""/>
                  <o:lock v:ext="edit" aspectratio="f"/>
                  <v:textbox inset="0mm,0mm,0mm,0mm">
                    <w:txbxContent>
                      <w:p>
                        <w:pPr>
                          <w:pStyle w:val="2"/>
                          <w:numPr>
                            <w:ilvl w:val="0"/>
                            <w:numId w:val="0"/>
                          </w:numPr>
                          <w:kinsoku w:val="0"/>
                          <w:overflowPunct w:val="0"/>
                          <w:ind w:right="0" w:rightChars="0"/>
                          <w:rPr>
                            <w:rFonts w:hint="eastAsia"/>
                          </w:rPr>
                        </w:pPr>
                      </w:p>
                      <w:p>
                        <w:pPr>
                          <w:pStyle w:val="2"/>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2"/>
                          <w:numPr>
                            <w:ilvl w:val="0"/>
                            <w:numId w:val="0"/>
                          </w:numPr>
                          <w:shd w:val="clear" w:color="auto" w:fill="auto"/>
                          <w:kinsoku w:val="0"/>
                          <w:overflowPunct w:val="0"/>
                          <w:ind w:right="0" w:rightChars="0"/>
                          <w:jc w:val="center"/>
                          <w:rPr>
                            <w:b/>
                            <w:bCs/>
                          </w:rPr>
                        </w:pPr>
                        <w:r>
                          <w:rPr>
                            <w:rFonts w:hint="eastAsia" w:ascii="仿宋" w:hAnsi="仿宋" w:eastAsia="仿宋" w:cs="仿宋"/>
                            <w:b/>
                            <w:bCs/>
                            <w:sz w:val="24"/>
                            <w:szCs w:val="24"/>
                          </w:rPr>
                          <w:t>被授权代表身份证复印件（正面）</w:t>
                        </w:r>
                      </w:p>
                    </w:txbxContent>
                  </v:textbox>
                </v:shape>
                <v:shape id="文本框 45" o:spid="_x0000_s1026" o:spt="202" type="#_x0000_t202" style="position:absolute;left:4044;top:19;height:2142;width:4025;" filled="f" stroked="t" coordsize="21600,21600" o:gfxdata="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yFeK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2"/>
                          <w:numPr>
                            <w:ilvl w:val="0"/>
                            <w:numId w:val="0"/>
                          </w:numPr>
                          <w:kinsoku w:val="0"/>
                          <w:overflowPunct w:val="0"/>
                          <w:ind w:right="0" w:rightChars="0"/>
                          <w:rPr>
                            <w:rFonts w:hint="eastAsia"/>
                          </w:rPr>
                        </w:pPr>
                      </w:p>
                      <w:p>
                        <w:pPr>
                          <w:pStyle w:val="2"/>
                          <w:numPr>
                            <w:ilvl w:val="0"/>
                            <w:numId w:val="0"/>
                          </w:numPr>
                          <w:shd w:val="clear" w:color="auto" w:fill="auto"/>
                          <w:kinsoku w:val="0"/>
                          <w:overflowPunct w:val="0"/>
                          <w:ind w:right="0" w:rightChars="0"/>
                          <w:rPr>
                            <w:rFonts w:hint="eastAsia" w:ascii="仿宋" w:hAnsi="仿宋" w:eastAsia="仿宋" w:cs="仿宋"/>
                            <w:sz w:val="24"/>
                            <w:szCs w:val="24"/>
                          </w:rPr>
                        </w:pPr>
                      </w:p>
                      <w:p>
                        <w:pPr>
                          <w:pStyle w:val="2"/>
                          <w:numPr>
                            <w:ilvl w:val="0"/>
                            <w:numId w:val="0"/>
                          </w:numPr>
                          <w:shd w:val="clear" w:color="auto" w:fill="auto"/>
                          <w:kinsoku w:val="0"/>
                          <w:overflowPunct w:val="0"/>
                          <w:ind w:right="0" w:rightChars="0" w:firstLine="241" w:firstLineChars="100"/>
                          <w:rPr>
                            <w:b/>
                            <w:bCs/>
                          </w:rPr>
                        </w:pPr>
                        <w:r>
                          <w:rPr>
                            <w:rFonts w:hint="eastAsia" w:ascii="仿宋" w:hAnsi="仿宋" w:eastAsia="仿宋" w:cs="仿宋"/>
                            <w:b/>
                            <w:bCs/>
                            <w:sz w:val="24"/>
                            <w:szCs w:val="24"/>
                          </w:rPr>
                          <w:t>被授权代表身份证复印件（反面）</w:t>
                        </w:r>
                      </w:p>
                    </w:txbxContent>
                  </v:textbox>
                </v:shape>
                <w10:wrap type="none"/>
                <w10:anchorlock/>
              </v:group>
            </w:pict>
          </mc:Fallback>
        </mc:AlternateContent>
      </w:r>
    </w:p>
    <w:p>
      <w:pPr>
        <w:pStyle w:val="2"/>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p>
    <w:p>
      <w:pPr>
        <w:pStyle w:val="2"/>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p>
    <w:p>
      <w:pPr>
        <w:pStyle w:val="2"/>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被授权代表（</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投标人法定代表人（</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sz w:val="24"/>
          <w:highlight w:val="none"/>
        </w:rPr>
        <w:t>）：</w:t>
      </w:r>
    </w:p>
    <w:p>
      <w:pPr>
        <w:pStyle w:val="2"/>
        <w:numPr>
          <w:ilvl w:val="0"/>
          <w:numId w:val="0"/>
        </w:numPr>
        <w:tabs>
          <w:tab w:val="left" w:pos="1098"/>
          <w:tab w:val="left" w:pos="5298"/>
          <w:tab w:val="left" w:pos="5778"/>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务：</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务：</w:t>
      </w:r>
    </w:p>
    <w:p>
      <w:pPr>
        <w:pStyle w:val="2"/>
        <w:numPr>
          <w:ilvl w:val="0"/>
          <w:numId w:val="0"/>
        </w:numPr>
        <w:tabs>
          <w:tab w:val="left" w:pos="1098"/>
          <w:tab w:val="left" w:pos="5298"/>
          <w:tab w:val="left" w:pos="5778"/>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电</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话：</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电</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话：</w:t>
      </w:r>
    </w:p>
    <w:p>
      <w:pPr>
        <w:pStyle w:val="2"/>
        <w:numPr>
          <w:ilvl w:val="0"/>
          <w:numId w:val="0"/>
        </w:numPr>
        <w:tabs>
          <w:tab w:val="left" w:pos="5631"/>
          <w:tab w:val="left" w:pos="6591"/>
          <w:tab w:val="left" w:pos="7191"/>
          <w:tab w:val="left" w:pos="7791"/>
          <w:tab w:val="left" w:pos="8247"/>
        </w:tabs>
        <w:kinsoku w:val="0"/>
        <w:overflowPunct w:val="0"/>
        <w:adjustRightInd w:val="0"/>
        <w:snapToGrid w:val="0"/>
        <w:spacing w:line="360" w:lineRule="auto"/>
        <w:ind w:left="709" w:leftChars="0" w:right="238"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（盖章）</w:t>
      </w:r>
    </w:p>
    <w:p>
      <w:pPr>
        <w:pStyle w:val="2"/>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40" w:firstLineChars="1200"/>
        <w:jc w:val="both"/>
        <w:outlineLvl w:val="9"/>
        <w:rPr>
          <w:rFonts w:hint="eastAsia" w:ascii="仿宋" w:hAnsi="仿宋" w:eastAsia="仿宋" w:cs="仿宋"/>
          <w:color w:val="auto"/>
          <w:sz w:val="24"/>
          <w:highlight w:val="none"/>
        </w:rPr>
      </w:pPr>
    </w:p>
    <w:p>
      <w:pPr>
        <w:pStyle w:val="2"/>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40" w:firstLineChars="1200"/>
        <w:jc w:val="both"/>
        <w:outlineLvl w:val="9"/>
        <w:rPr>
          <w:rFonts w:hint="eastAsia" w:ascii="仿宋" w:hAnsi="仿宋" w:eastAsia="仿宋" w:cs="仿宋"/>
          <w:color w:val="auto"/>
          <w:sz w:val="20"/>
          <w:highlight w:val="none"/>
        </w:rPr>
      </w:pPr>
      <w:r>
        <w:rPr>
          <w:rFonts w:hint="eastAsia" w:ascii="仿宋" w:hAnsi="仿宋" w:eastAsia="仿宋" w:cs="仿宋"/>
          <w:color w:val="auto"/>
          <w:sz w:val="24"/>
          <w:highlight w:val="none"/>
        </w:rPr>
        <w:t xml:space="preserve"> 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r>
        <w:rPr>
          <w:rFonts w:hint="eastAsia" w:ascii="仿宋" w:hAnsi="仿宋" w:eastAsia="仿宋" w:cs="仿宋"/>
          <w:color w:val="auto"/>
          <w:sz w:val="20"/>
          <w:highlight w:val="none"/>
        </w:rPr>
        <w:t xml:space="preserve">               </w:t>
      </w:r>
    </w:p>
    <w:p>
      <w:pPr>
        <w:pStyle w:val="31"/>
        <w:outlineLvl w:val="9"/>
        <w:rPr>
          <w:rFonts w:hint="eastAsia" w:ascii="仿宋" w:hAnsi="仿宋" w:eastAsia="仿宋" w:cs="仿宋"/>
          <w:b/>
          <w:bCs/>
          <w:color w:val="auto"/>
          <w:sz w:val="36"/>
          <w:szCs w:val="36"/>
          <w:highlight w:val="none"/>
        </w:rPr>
      </w:pPr>
      <w:r>
        <w:rPr>
          <w:rFonts w:hint="eastAsia" w:ascii="仿宋" w:hAnsi="仿宋" w:eastAsia="仿宋" w:cs="仿宋"/>
          <w:color w:val="auto"/>
          <w:highlight w:val="none"/>
        </w:rPr>
        <w:br w:type="page"/>
      </w:r>
    </w:p>
    <w:p>
      <w:pPr>
        <w:pStyle w:val="2"/>
        <w:numPr>
          <w:ilvl w:val="0"/>
          <w:numId w:val="0"/>
        </w:numPr>
        <w:shd w:val="clear" w:color="auto" w:fill="auto"/>
        <w:kinsoku w:val="0"/>
        <w:overflowPunct w:val="0"/>
        <w:spacing w:before="34" w:line="357" w:lineRule="auto"/>
        <w:ind w:left="480" w:leftChars="0" w:right="126" w:rightChars="0"/>
        <w:jc w:val="center"/>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4、</w:t>
      </w:r>
      <w:r>
        <w:rPr>
          <w:rFonts w:hint="eastAsia" w:ascii="仿宋" w:hAnsi="仿宋" w:eastAsia="仿宋" w:cs="仿宋"/>
          <w:b/>
          <w:bCs/>
          <w:color w:val="auto"/>
          <w:sz w:val="36"/>
          <w:szCs w:val="36"/>
          <w:highlight w:val="none"/>
        </w:rPr>
        <w:t>参加政府采购活动前3年内</w:t>
      </w:r>
      <w:bookmarkStart w:id="94" w:name="_Toc515647812"/>
      <w:bookmarkStart w:id="95" w:name="_Toc1137"/>
      <w:bookmarkStart w:id="96" w:name="_Toc6008"/>
      <w:r>
        <w:rPr>
          <w:rFonts w:hint="eastAsia" w:ascii="仿宋" w:hAnsi="仿宋" w:eastAsia="仿宋" w:cs="仿宋"/>
          <w:b/>
          <w:bCs/>
          <w:color w:val="auto"/>
          <w:sz w:val="36"/>
          <w:szCs w:val="36"/>
          <w:highlight w:val="none"/>
        </w:rPr>
        <w:t>在经营活动中没有重大违法记录的书面声明</w:t>
      </w:r>
      <w:bookmarkEnd w:id="94"/>
      <w:bookmarkEnd w:id="95"/>
      <w:bookmarkEnd w:id="96"/>
    </w:p>
    <w:p>
      <w:pPr>
        <w:pStyle w:val="12"/>
        <w:shd w:val="clear" w:color="auto" w:fill="auto"/>
        <w:tabs>
          <w:tab w:val="left" w:pos="5580"/>
        </w:tabs>
        <w:spacing w:line="240" w:lineRule="atLeast"/>
        <w:ind w:left="1169" w:leftChars="257" w:hanging="540"/>
        <w:jc w:val="center"/>
        <w:outlineLvl w:val="9"/>
        <w:rPr>
          <w:rFonts w:hint="eastAsia" w:ascii="仿宋" w:hAnsi="仿宋" w:eastAsia="仿宋" w:cs="仿宋"/>
          <w:b/>
          <w:color w:val="auto"/>
          <w:sz w:val="24"/>
          <w:highlight w:val="none"/>
        </w:rPr>
      </w:pPr>
    </w:p>
    <w:p>
      <w:pPr>
        <w:pStyle w:val="12"/>
        <w:shd w:val="clear" w:color="auto" w:fill="auto"/>
        <w:tabs>
          <w:tab w:val="left" w:pos="5580"/>
        </w:tabs>
        <w:spacing w:line="240" w:lineRule="atLeast"/>
        <w:ind w:left="1169" w:leftChars="257" w:hanging="540"/>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说明：1.投标人应按照相关法规规定如实作出说明。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1307" w:firstLineChars="534"/>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2．按照招标文件的规定加盖单位章（自然人投标的无需盖章，需要签字）。</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w:t>
      </w:r>
    </w:p>
    <w:p>
      <w:pPr>
        <w:outlineLvl w:val="9"/>
        <w:rPr>
          <w:rFonts w:hint="eastAsia" w:ascii="仿宋" w:hAnsi="仿宋" w:eastAsia="仿宋" w:cs="仿宋"/>
          <w:color w:val="auto"/>
          <w:spacing w:val="0"/>
          <w:w w:val="100"/>
          <w:kern w:val="0"/>
          <w:position w:val="0"/>
          <w:sz w:val="24"/>
          <w:szCs w:val="24"/>
          <w:highlight w:val="none"/>
          <w:u w:val="none"/>
          <w:shd w:val="clear" w:color="auto" w:fill="auto"/>
          <w:lang w:val="en-US" w:eastAsia="zh-CN" w:bidi="en-US"/>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pacing w:val="0"/>
          <w:w w:val="100"/>
          <w:position w:val="0"/>
          <w:sz w:val="36"/>
          <w:szCs w:val="36"/>
          <w:highlight w:val="none"/>
          <w:shd w:val="clear" w:color="auto" w:fill="auto"/>
          <w:lang w:val="en-US" w:eastAsia="zh-CN" w:bidi="en-US"/>
        </w:rPr>
      </w:pPr>
    </w:p>
    <w:p>
      <w:pPr>
        <w:rPr>
          <w:rFonts w:hint="eastAsia" w:ascii="仿宋" w:hAnsi="仿宋" w:eastAsia="仿宋" w:cs="仿宋"/>
          <w:b/>
          <w:bCs/>
          <w:color w:val="auto"/>
          <w:spacing w:val="0"/>
          <w:w w:val="100"/>
          <w:position w:val="0"/>
          <w:sz w:val="36"/>
          <w:szCs w:val="36"/>
          <w:highlight w:val="none"/>
          <w:shd w:val="clear" w:color="auto" w:fill="auto"/>
          <w:lang w:val="en-US" w:eastAsia="zh-CN" w:bidi="en-US"/>
        </w:rPr>
      </w:pPr>
      <w:r>
        <w:rPr>
          <w:rFonts w:hint="eastAsia" w:ascii="仿宋" w:hAnsi="仿宋" w:eastAsia="仿宋" w:cs="仿宋"/>
          <w:b/>
          <w:bCs/>
          <w:color w:val="auto"/>
          <w:spacing w:val="0"/>
          <w:w w:val="100"/>
          <w:position w:val="0"/>
          <w:sz w:val="36"/>
          <w:szCs w:val="36"/>
          <w:highlight w:val="none"/>
          <w:shd w:val="clear" w:color="auto" w:fill="auto"/>
          <w:lang w:val="en-US" w:eastAsia="zh-CN" w:bidi="en-US"/>
        </w:rPr>
        <w:br w:type="page"/>
      </w:r>
    </w:p>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pacing w:val="0"/>
          <w:w w:val="100"/>
          <w:position w:val="0"/>
          <w:sz w:val="36"/>
          <w:szCs w:val="36"/>
          <w:highlight w:val="none"/>
          <w:shd w:val="clear" w:color="auto" w:fill="auto"/>
          <w:lang w:val="en-US" w:eastAsia="en-US" w:bidi="en-US"/>
        </w:rPr>
      </w:pPr>
      <w:r>
        <w:rPr>
          <w:rFonts w:hint="eastAsia" w:ascii="仿宋" w:hAnsi="仿宋" w:eastAsia="仿宋" w:cs="仿宋"/>
          <w:b/>
          <w:bCs/>
          <w:color w:val="auto"/>
          <w:spacing w:val="0"/>
          <w:w w:val="100"/>
          <w:position w:val="0"/>
          <w:sz w:val="36"/>
          <w:szCs w:val="36"/>
          <w:highlight w:val="none"/>
          <w:shd w:val="clear" w:color="auto" w:fill="auto"/>
          <w:lang w:val="en-US" w:eastAsia="zh-CN" w:bidi="en-US"/>
        </w:rPr>
        <w:t>5、</w:t>
      </w:r>
      <w:r>
        <w:rPr>
          <w:rFonts w:hint="eastAsia" w:ascii="仿宋" w:hAnsi="仿宋" w:eastAsia="仿宋" w:cs="仿宋"/>
          <w:b/>
          <w:bCs/>
          <w:color w:val="auto"/>
          <w:spacing w:val="0"/>
          <w:w w:val="100"/>
          <w:position w:val="0"/>
          <w:sz w:val="36"/>
          <w:szCs w:val="36"/>
          <w:highlight w:val="none"/>
          <w:shd w:val="clear" w:color="auto" w:fill="auto"/>
          <w:lang w:val="en-US" w:eastAsia="en-US" w:bidi="en-US"/>
        </w:rPr>
        <w:t>投标保证金缴纳凭证或投标担保函</w:t>
      </w:r>
    </w:p>
    <w:p>
      <w:pPr>
        <w:shd w:val="clear" w:color="auto" w:fill="auto"/>
        <w:ind w:firstLine="490" w:firstLineChars="200"/>
        <w:outlineLvl w:val="9"/>
        <w:rPr>
          <w:rFonts w:hint="eastAsia" w:ascii="仿宋" w:hAnsi="仿宋" w:eastAsia="仿宋" w:cs="仿宋"/>
          <w:color w:val="auto"/>
          <w:sz w:val="24"/>
          <w:highlight w:val="none"/>
        </w:rPr>
      </w:pPr>
      <w:bookmarkStart w:id="97" w:name="_Toc494296665"/>
      <w:bookmarkStart w:id="98" w:name="_Toc494296991"/>
    </w:p>
    <w:bookmarkEnd w:id="97"/>
    <w:bookmarkEnd w:id="98"/>
    <w:p>
      <w:pPr>
        <w:pStyle w:val="7"/>
        <w:shd w:val="clear" w:color="auto" w:fill="auto"/>
        <w:outlineLvl w:val="9"/>
        <w:rPr>
          <w:rFonts w:hint="eastAsia" w:ascii="仿宋" w:hAnsi="仿宋" w:eastAsia="仿宋" w:cs="仿宋"/>
          <w:color w:val="auto"/>
          <w:highlight w:val="none"/>
        </w:rPr>
      </w:pPr>
    </w:p>
    <w:tbl>
      <w:tblPr>
        <w:tblStyle w:val="23"/>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pPr>
        <w:pStyle w:val="7"/>
        <w:shd w:val="clear" w:color="auto" w:fill="auto"/>
        <w:outlineLvl w:val="9"/>
        <w:rPr>
          <w:rFonts w:hint="eastAsia" w:ascii="仿宋" w:hAnsi="仿宋" w:eastAsia="仿宋" w:cs="仿宋"/>
          <w:color w:val="auto"/>
          <w:highlight w:val="none"/>
        </w:rPr>
      </w:pPr>
    </w:p>
    <w:p>
      <w:pPr>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p>
    <w:p>
      <w:pPr>
        <w:shd w:val="clear" w:color="auto" w:fill="auto"/>
        <w:outlineLvl w:val="9"/>
        <w:rPr>
          <w:rFonts w:hint="eastAsia" w:ascii="仿宋" w:hAnsi="仿宋" w:eastAsia="仿宋" w:cs="仿宋"/>
          <w:color w:val="auto"/>
          <w:sz w:val="28"/>
          <w:szCs w:val="28"/>
          <w:highlight w:val="none"/>
        </w:rPr>
      </w:pPr>
    </w:p>
    <w:tbl>
      <w:tblPr>
        <w:tblStyle w:val="23"/>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打款凭证</w:t>
            </w:r>
          </w:p>
        </w:tc>
      </w:tr>
    </w:tbl>
    <w:p>
      <w:pPr>
        <w:pStyle w:val="7"/>
        <w:shd w:val="clear" w:color="auto" w:fill="auto"/>
        <w:outlineLvl w:val="9"/>
        <w:rPr>
          <w:rFonts w:hint="eastAsia" w:ascii="仿宋" w:hAnsi="仿宋" w:eastAsia="仿宋" w:cs="仿宋"/>
          <w:color w:val="auto"/>
          <w:highlight w:val="none"/>
        </w:rPr>
      </w:pPr>
    </w:p>
    <w:p>
      <w:pPr>
        <w:pStyle w:val="7"/>
        <w:shd w:val="clear" w:color="auto" w:fill="auto"/>
        <w:outlineLvl w:val="9"/>
        <w:rPr>
          <w:rFonts w:hint="eastAsia" w:ascii="仿宋" w:hAnsi="仿宋" w:eastAsia="仿宋" w:cs="仿宋"/>
          <w:color w:val="auto"/>
          <w:highlight w:val="none"/>
        </w:rPr>
      </w:pPr>
    </w:p>
    <w:p>
      <w:pPr>
        <w:pStyle w:val="7"/>
        <w:shd w:val="clear" w:color="auto" w:fill="auto"/>
        <w:outlineLvl w:val="9"/>
        <w:rPr>
          <w:rFonts w:hint="eastAsia" w:ascii="仿宋" w:hAnsi="仿宋" w:eastAsia="仿宋" w:cs="仿宋"/>
          <w:color w:val="auto"/>
          <w:highlight w:val="none"/>
        </w:rPr>
      </w:pPr>
    </w:p>
    <w:p>
      <w:pPr>
        <w:pStyle w:val="7"/>
        <w:shd w:val="clear" w:color="auto" w:fill="auto"/>
        <w:outlineLvl w:val="9"/>
        <w:rPr>
          <w:rFonts w:hint="eastAsia" w:ascii="仿宋" w:hAnsi="仿宋" w:eastAsia="仿宋" w:cs="仿宋"/>
          <w:color w:val="auto"/>
          <w:highlight w:val="none"/>
        </w:rPr>
      </w:pPr>
    </w:p>
    <w:p>
      <w:pPr>
        <w:pStyle w:val="7"/>
        <w:shd w:val="clear" w:color="auto" w:fill="auto"/>
        <w:outlineLvl w:val="9"/>
        <w:rPr>
          <w:rFonts w:hint="eastAsia" w:ascii="仿宋" w:hAnsi="仿宋" w:eastAsia="仿宋" w:cs="仿宋"/>
          <w:color w:val="auto"/>
          <w:highlight w:val="none"/>
        </w:rPr>
      </w:pPr>
    </w:p>
    <w:p>
      <w:pPr>
        <w:pStyle w:val="7"/>
        <w:shd w:val="clear" w:color="auto" w:fill="auto"/>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both"/>
        <w:outlineLvl w:val="9"/>
        <w:rPr>
          <w:rFonts w:hint="eastAsia" w:ascii="仿宋" w:hAnsi="仿宋" w:eastAsia="仿宋" w:cs="仿宋"/>
          <w:color w:val="auto"/>
          <w:sz w:val="28"/>
          <w:szCs w:val="28"/>
          <w:highlight w:val="none"/>
        </w:rPr>
      </w:pPr>
    </w:p>
    <w:p>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hd w:val="clear" w:color="auto" w:fill="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政府采购投标担保函 （项目用）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编号：</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default"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（采购人或采购代理机构）：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鉴于               （以下简称“投标人”）拟参加编号为                 的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项目（以下简称“本项目”）投标，根据本项目采购文件，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一、保证责任的情形及保证金额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（一）在投标人出现下列情形之一时，我方承担保证责任：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1．中标后投标人无正当理由不与采购人或者采购代理机构签订《政府采购合同》；</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2．询价通知书规定的投标人应当缴纳保证金的其他情形。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（二）我方承担保证责任的最高金额为人民币      元（大写            ），即本项目的投标保证金金额。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二、保证的方式及保证期间</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我方保证的方式为：连带责任保证。</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我方的保证期间为：自本保函生效之日起    个月止。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三、承担保证责任的程序</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2．我方在收到索赔通知及相关证明材料后，在　　　个工作日内进行审查，符合应承担保证责任情形的，我方应按照你方的要求代投标人向你方支付投标保证金。</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四、保证责任的终止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1．保证期间届满你方未向我方书面主张保证责任的，自保证期间届满次日起，我方保证责任自动终止。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3．按照法律法规的规定或出现我方保证责任终止的其它情形的，我方在本保函项下的保证责任亦终止。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五、免责条款</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2．因你方原因致使投标人发生本保函第一条第（一）款约定情形的，我方不承担保证责任。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3．因不可抗力造成投标人发生本保函第一条约定情形的，我方不承担保证责任。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4．你方或其他有权机关对询价通知书进行任何澄清或修改，加重我方保证责任的，我方对加重部分不承担保证责任，但该澄清或修改经我方事先书面同意的除外。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六、争议的解决</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因本保函发生的纠纷，由你我双方协商解决，协商不成的，通过诉讼程序解决，诉讼管辖地法院为          法院。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七、保函的生效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本保函自我方加盖公章之日起生效。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keepNext w:val="0"/>
        <w:keepLines w:val="0"/>
        <w:pageBreakBefore w:val="0"/>
        <w:widowControl w:val="0"/>
        <w:shd w:val="clear" w:color="auto" w:fill="auto"/>
        <w:tabs>
          <w:tab w:val="left" w:pos="5580"/>
          <w:tab w:val="left" w:pos="7010"/>
          <w:tab w:val="right" w:pos="9116"/>
        </w:tabs>
        <w:kinsoku/>
        <w:wordWrap/>
        <w:overflowPunct/>
        <w:topLinePunct w:val="0"/>
        <w:autoSpaceDE/>
        <w:autoSpaceDN/>
        <w:bidi w:val="0"/>
        <w:adjustRightInd/>
        <w:snapToGrid/>
        <w:spacing w:line="500" w:lineRule="atLeast"/>
        <w:jc w:val="left"/>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ab/>
      </w: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保证人：（公章）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jc w:val="center"/>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sectPr>
          <w:pgSz w:w="11905" w:h="16838"/>
          <w:pgMar w:top="1440" w:right="1417" w:bottom="1440" w:left="1417" w:header="850" w:footer="992" w:gutter="0"/>
          <w:pgNumType w:fmt="decimal"/>
          <w:cols w:space="0" w:num="1"/>
          <w:rtlGutter w:val="0"/>
          <w:docGrid w:type="linesAndChars" w:linePitch="335" w:charSpace="1057"/>
        </w:sect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年     月     日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jc w:val="left"/>
        <w:textAlignment w:val="auto"/>
        <w:outlineLvl w:val="9"/>
        <w:rPr>
          <w:rFonts w:hint="eastAsia" w:ascii="仿宋" w:hAnsi="仿宋" w:eastAsia="仿宋" w:cs="仿宋"/>
          <w:b/>
          <w:bCs/>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6、投标企业须提供投标人（被授权在职人员）近期社保证明</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说明：复印件上应加盖本单位章</w:t>
      </w:r>
    </w:p>
    <w:p>
      <w:pPr>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t>7、参加采购活动前三年内，在经营活动中没有重大违法记录，供应商须提供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pPr>
    </w:p>
    <w:p>
      <w:pPr>
        <w:ind w:firstLine="490" w:firstLineChars="200"/>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8、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outlineLvl w:val="9"/>
        <w:rPr>
          <w:rFonts w:hint="default" w:ascii="仿宋" w:hAnsi="仿宋" w:eastAsia="仿宋" w:cs="仿宋"/>
          <w:b/>
          <w:bCs/>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left="720" w:leftChars="0" w:right="0" w:rightChars="0"/>
        <w:jc w:val="left"/>
        <w:textAlignment w:val="auto"/>
        <w:outlineLvl w:val="9"/>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9、</w:t>
      </w:r>
      <w:r>
        <w:rPr>
          <w:rFonts w:hint="eastAsia" w:ascii="仿宋" w:hAnsi="仿宋" w:eastAsia="仿宋" w:cs="仿宋"/>
          <w:b/>
          <w:bCs/>
          <w:color w:val="auto"/>
          <w:highlight w:val="none"/>
        </w:rPr>
        <w:t>投标人须知资料表要求的其他资格证明文件</w:t>
      </w: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pStyle w:val="12"/>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p>
    <w:p>
      <w:pPr>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outlineLvl w:val="9"/>
        <w:rPr>
          <w:rFonts w:hint="eastAsia" w:ascii="仿宋" w:hAnsi="仿宋" w:eastAsia="仿宋" w:cs="仿宋"/>
          <w:color w:val="auto"/>
          <w:sz w:val="32"/>
          <w:szCs w:val="32"/>
          <w:highlight w:val="none"/>
        </w:rPr>
      </w:pPr>
      <w:bookmarkStart w:id="99" w:name="_Toc515647816"/>
      <w:bookmarkStart w:id="100" w:name="_Toc22967"/>
      <w:bookmarkStart w:id="101" w:name="_Toc11180"/>
      <w:bookmarkStart w:id="102" w:name="_Toc5695"/>
    </w:p>
    <w:p>
      <w:pPr>
        <w:outlineLvl w:val="9"/>
        <w:rPr>
          <w:rFonts w:hint="eastAsia" w:ascii="仿宋" w:hAnsi="仿宋" w:eastAsia="仿宋" w:cs="仿宋"/>
          <w:color w:val="auto"/>
          <w:sz w:val="32"/>
          <w:szCs w:val="32"/>
          <w:highlight w:val="none"/>
        </w:rPr>
      </w:pPr>
    </w:p>
    <w:p>
      <w:pPr>
        <w:pStyle w:val="31"/>
        <w:outlineLvl w:val="9"/>
        <w:rPr>
          <w:rFonts w:hint="eastAsia" w:ascii="仿宋" w:hAnsi="仿宋" w:eastAsia="仿宋" w:cs="仿宋"/>
          <w:color w:val="auto"/>
          <w:sz w:val="32"/>
          <w:szCs w:val="32"/>
          <w:highlight w:val="none"/>
        </w:rPr>
      </w:pPr>
    </w:p>
    <w:p>
      <w:pPr>
        <w:pStyle w:val="31"/>
        <w:outlineLvl w:val="9"/>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pPr>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bookmarkEnd w:id="99"/>
      <w:bookmarkEnd w:id="100"/>
      <w:bookmarkEnd w:id="101"/>
      <w:bookmarkEnd w:id="102"/>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1、投标函</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2、开标一览表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3、货物说明一览表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4、投标分项报价表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5、技术规格偏离表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6、商务条款偏离表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7、投标人基本情况表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8、近三年（2019年1月1日至今）类似项目业绩表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9、中小企业声明函(货物)</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10、《残疾人福利性单位声明函》</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11、评分标准和细则中技术部分证明材料</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12、评分标准和细则中技术部分证明材料（格式自拟）</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13、投标人认为有必要提供的其他证明材料（格式自拟）</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br w:type="page"/>
      </w:r>
    </w:p>
    <w:p>
      <w:pPr>
        <w:pStyle w:val="2"/>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1</w:t>
      </w:r>
      <w:r>
        <w:rPr>
          <w:rFonts w:hint="eastAsia" w:ascii="仿宋" w:hAnsi="仿宋" w:eastAsia="仿宋" w:cs="仿宋"/>
          <w:b/>
          <w:bCs/>
          <w:color w:val="auto"/>
          <w:sz w:val="36"/>
          <w:szCs w:val="36"/>
          <w:highlight w:val="none"/>
        </w:rPr>
        <w:t>、投标函</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single"/>
        </w:rPr>
        <w:t xml:space="preserve">                     </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为响应你方组织的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项目的招标项目编号为：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，我方愿参与投标。</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我方确认收到贵方提供的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none"/>
        </w:rPr>
        <w:t>招标</w:t>
      </w:r>
      <w:r>
        <w:rPr>
          <w:rFonts w:hint="eastAsia" w:ascii="仿宋" w:hAnsi="仿宋" w:eastAsia="仿宋" w:cs="仿宋"/>
          <w:color w:val="auto"/>
          <w:kern w:val="0"/>
          <w:sz w:val="24"/>
          <w:highlight w:val="none"/>
        </w:rPr>
        <w:t>文件的全部内容。</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 xml:space="preserve">      (投标人名称)      </w:t>
      </w:r>
      <w:r>
        <w:rPr>
          <w:rFonts w:hint="eastAsia" w:ascii="仿宋" w:hAnsi="仿宋" w:eastAsia="仿宋" w:cs="仿宋"/>
          <w:color w:val="auto"/>
          <w:kern w:val="0"/>
          <w:sz w:val="24"/>
          <w:highlight w:val="none"/>
        </w:rPr>
        <w:t>作为投标人正式授权</w:t>
      </w:r>
      <w:r>
        <w:rPr>
          <w:rFonts w:hint="eastAsia" w:ascii="仿宋" w:hAnsi="仿宋" w:eastAsia="仿宋" w:cs="仿宋"/>
          <w:color w:val="auto"/>
          <w:kern w:val="0"/>
          <w:sz w:val="24"/>
          <w:highlight w:val="none"/>
          <w:u w:val="single"/>
        </w:rPr>
        <w:t xml:space="preserve">  (授权代表全名, 职务)  </w:t>
      </w:r>
      <w:r>
        <w:rPr>
          <w:rFonts w:hint="eastAsia" w:ascii="仿宋" w:hAnsi="仿宋" w:eastAsia="仿宋" w:cs="仿宋"/>
          <w:color w:val="auto"/>
          <w:kern w:val="0"/>
          <w:sz w:val="24"/>
          <w:highlight w:val="none"/>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我方已完全明白招标文件的所有条款要求，并申明如下：</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（一）按招标文件提供的全部货物与相关服务的投标总价详见《报价一览表》。</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（二）本投标文件的有效期为投标截止时间起</w:t>
      </w:r>
      <w:r>
        <w:rPr>
          <w:rFonts w:hint="eastAsia" w:ascii="仿宋" w:hAnsi="仿宋" w:eastAsia="仿宋" w:cs="仿宋"/>
          <w:color w:val="auto"/>
          <w:kern w:val="0"/>
          <w:sz w:val="24"/>
          <w:highlight w:val="none"/>
          <w:u w:val="single"/>
          <w:lang w:val="en-US" w:eastAsia="zh-CN"/>
        </w:rPr>
        <w:t>60</w:t>
      </w:r>
      <w:r>
        <w:rPr>
          <w:rFonts w:hint="eastAsia" w:ascii="仿宋" w:hAnsi="仿宋" w:eastAsia="仿宋" w:cs="仿宋"/>
          <w:color w:val="auto"/>
          <w:kern w:val="0"/>
          <w:sz w:val="24"/>
          <w:highlight w:val="none"/>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（三）我方同意按照贵方可能提出的要求而提供与投标有关的任何其它数据、信息或资料。</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四</w:t>
      </w:r>
      <w:r>
        <w:rPr>
          <w:rFonts w:hint="eastAsia" w:ascii="仿宋" w:hAnsi="仿宋" w:eastAsia="仿宋" w:cs="仿宋"/>
          <w:color w:val="auto"/>
          <w:kern w:val="0"/>
          <w:sz w:val="24"/>
          <w:highlight w:val="none"/>
        </w:rPr>
        <w:t>）我方理解贵方不一定接受最低投标价或任何贵方可能收到的投标。</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五</w:t>
      </w:r>
      <w:r>
        <w:rPr>
          <w:rFonts w:hint="eastAsia" w:ascii="仿宋" w:hAnsi="仿宋" w:eastAsia="仿宋" w:cs="仿宋"/>
          <w:color w:val="auto"/>
          <w:kern w:val="0"/>
          <w:sz w:val="24"/>
          <w:highlight w:val="none"/>
        </w:rPr>
        <w:t>）我方如果中标，将保证履行招标文件及其澄清、修改文件（如果有）中的全部责任和义务，按质、按量、按期完成《招标内容》及《合同书》中的全部任务。</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六</w:t>
      </w:r>
      <w:r>
        <w:rPr>
          <w:rFonts w:hint="eastAsia" w:ascii="仿宋" w:hAnsi="仿宋" w:eastAsia="仿宋" w:cs="仿宋"/>
          <w:color w:val="auto"/>
          <w:kern w:val="0"/>
          <w:sz w:val="24"/>
          <w:highlight w:val="none"/>
        </w:rPr>
        <w:t>）如我方被授予合同，我方承诺支付就本次招标应支付或将支付的中标服务费（详见按招标文件要求格式填写的《中标服务费支付承诺书》）。</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七</w:t>
      </w:r>
      <w:r>
        <w:rPr>
          <w:rFonts w:hint="eastAsia" w:ascii="仿宋" w:hAnsi="仿宋" w:eastAsia="仿宋" w:cs="仿宋"/>
          <w:color w:val="auto"/>
          <w:kern w:val="0"/>
          <w:sz w:val="24"/>
          <w:highlight w:val="none"/>
        </w:rPr>
        <w:t>）我方作为在法律、财务和运作上独立于采购人、招标代理机构的投标人，在此保证所提交的所有文件和全部说明是真实的和正确的。</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八</w:t>
      </w:r>
      <w:r>
        <w:rPr>
          <w:rFonts w:hint="eastAsia" w:ascii="仿宋" w:hAnsi="仿宋" w:eastAsia="仿宋" w:cs="仿宋"/>
          <w:color w:val="auto"/>
          <w:kern w:val="0"/>
          <w:sz w:val="24"/>
          <w:highlight w:val="none"/>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九</w:t>
      </w:r>
      <w:r>
        <w:rPr>
          <w:rFonts w:hint="eastAsia" w:ascii="仿宋" w:hAnsi="仿宋" w:eastAsia="仿宋" w:cs="仿宋"/>
          <w:color w:val="auto"/>
          <w:kern w:val="0"/>
          <w:sz w:val="24"/>
          <w:highlight w:val="none"/>
        </w:rPr>
        <w:t>）我方与其他投标人不存在单位负责人为同一人或者存在直接控股、管理关系。</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（十）我方承诺未为本项目提供整体设计、规范编制或者项目管理、监理、检测等服务。</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eastAsia="zh-CN"/>
        </w:rPr>
        <w:t>一</w:t>
      </w:r>
      <w:r>
        <w:rPr>
          <w:rFonts w:hint="eastAsia" w:ascii="仿宋" w:hAnsi="仿宋" w:eastAsia="仿宋" w:cs="仿宋"/>
          <w:color w:val="auto"/>
          <w:kern w:val="0"/>
          <w:sz w:val="24"/>
          <w:highlight w:val="none"/>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.邮政编码：</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    话：</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传    真：</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代表姓名：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    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ind w:right="48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（公章） </w:t>
      </w:r>
    </w:p>
    <w:p>
      <w:pPr>
        <w:keepNext w:val="0"/>
        <w:keepLines w:val="0"/>
        <w:pageBreakBefore w:val="0"/>
        <w:widowControl w:val="0"/>
        <w:wordWrap w:val="0"/>
        <w:topLinePunct w:val="0"/>
        <w:autoSpaceDE/>
        <w:autoSpaceDN/>
        <w:bidi w:val="0"/>
        <w:adjustRightInd/>
        <w:snapToGrid/>
        <w:spacing w:line="440" w:lineRule="exact"/>
        <w:ind w:firstLine="490" w:firstLineChars="20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法定代表人或委托人：</w:t>
      </w:r>
      <w:r>
        <w:rPr>
          <w:rFonts w:hint="eastAsia" w:ascii="仿宋" w:hAnsi="仿宋" w:eastAsia="仿宋" w:cs="仿宋"/>
          <w:color w:val="auto"/>
          <w:kern w:val="0"/>
          <w:sz w:val="24"/>
          <w:highlight w:val="non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签字或盖章</w:t>
      </w:r>
      <w:r>
        <w:rPr>
          <w:rFonts w:hint="eastAsia" w:ascii="仿宋" w:hAnsi="仿宋" w:eastAsia="仿宋" w:cs="仿宋"/>
          <w:color w:val="auto"/>
          <w:kern w:val="0"/>
          <w:sz w:val="24"/>
          <w:highlight w:val="none"/>
        </w:rPr>
        <w:t xml:space="preserve">）  </w:t>
      </w:r>
    </w:p>
    <w:p>
      <w:pPr>
        <w:keepNext w:val="0"/>
        <w:keepLines w:val="0"/>
        <w:pageBreakBefore w:val="0"/>
        <w:widowControl w:val="0"/>
        <w:wordWrap w:val="0"/>
        <w:topLinePunct w:val="0"/>
        <w:autoSpaceDE/>
        <w:autoSpaceDN/>
        <w:bidi w:val="0"/>
        <w:adjustRightInd/>
        <w:snapToGrid/>
        <w:spacing w:line="440" w:lineRule="exact"/>
        <w:ind w:firstLine="490" w:firstLineChars="20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pPr>
        <w:pStyle w:val="31"/>
        <w:outlineLvl w:val="9"/>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pPr>
        <w:pStyle w:val="7"/>
        <w:shd w:val="clear" w:color="auto" w:fill="auto"/>
        <w:tabs>
          <w:tab w:val="left" w:pos="5580"/>
        </w:tabs>
        <w:spacing w:line="240" w:lineRule="atLeast"/>
        <w:ind w:firstLine="3383" w:firstLineChars="927"/>
        <w:jc w:val="both"/>
        <w:outlineLvl w:val="9"/>
        <w:rPr>
          <w:rFonts w:hint="eastAsia" w:ascii="仿宋" w:hAnsi="仿宋" w:eastAsia="仿宋" w:cs="仿宋"/>
          <w:color w:val="auto"/>
          <w:highlight w:val="none"/>
        </w:rPr>
      </w:pPr>
      <w:r>
        <w:rPr>
          <w:rFonts w:hint="eastAsia" w:ascii="仿宋" w:hAnsi="仿宋" w:eastAsia="仿宋" w:cs="仿宋"/>
          <w:b/>
          <w:bCs w:val="0"/>
          <w:color w:val="auto"/>
          <w:sz w:val="36"/>
          <w:szCs w:val="24"/>
          <w:highlight w:val="none"/>
          <w:lang w:val="en-US" w:eastAsia="zh-CN"/>
        </w:rPr>
        <w:t>2</w:t>
      </w:r>
      <w:r>
        <w:rPr>
          <w:rFonts w:hint="eastAsia" w:ascii="仿宋" w:hAnsi="仿宋" w:eastAsia="仿宋" w:cs="仿宋"/>
          <w:b/>
          <w:bCs w:val="0"/>
          <w:color w:val="auto"/>
          <w:sz w:val="36"/>
          <w:szCs w:val="24"/>
          <w:highlight w:val="none"/>
          <w:lang w:eastAsia="zh-CN"/>
        </w:rPr>
        <w:t>、</w:t>
      </w:r>
      <w:r>
        <w:rPr>
          <w:rFonts w:hint="eastAsia" w:ascii="仿宋" w:hAnsi="仿宋" w:eastAsia="仿宋" w:cs="仿宋"/>
          <w:b/>
          <w:bCs w:val="0"/>
          <w:color w:val="auto"/>
          <w:sz w:val="36"/>
          <w:szCs w:val="24"/>
          <w:highlight w:val="none"/>
        </w:rPr>
        <w:t>开标一览表</w:t>
      </w:r>
      <w:r>
        <w:rPr>
          <w:rFonts w:hint="eastAsia" w:ascii="仿宋" w:hAnsi="仿宋" w:eastAsia="仿宋" w:cs="仿宋"/>
          <w:b w:val="0"/>
          <w:bCs/>
          <w:color w:val="auto"/>
          <w:sz w:val="36"/>
          <w:szCs w:val="24"/>
          <w:highlight w:val="none"/>
        </w:rPr>
        <w:cr/>
      </w:r>
    </w:p>
    <w:p>
      <w:pPr>
        <w:shd w:val="clear" w:color="auto" w:fill="auto"/>
        <w:adjustRightInd w:val="0"/>
        <w:snapToGrid w:val="0"/>
        <w:spacing w:line="500" w:lineRule="exact"/>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招标项目名称： </w:t>
      </w:r>
      <w:r>
        <w:rPr>
          <w:rFonts w:hint="eastAsia" w:ascii="仿宋" w:hAnsi="仿宋" w:eastAsia="仿宋" w:cs="仿宋"/>
          <w:color w:val="auto"/>
          <w:szCs w:val="21"/>
          <w:highlight w:val="none"/>
          <w:u w:val="single"/>
        </w:rPr>
        <w:t xml:space="preserve">                         </w:t>
      </w:r>
    </w:p>
    <w:p>
      <w:pPr>
        <w:shd w:val="clear" w:color="auto" w:fill="auto"/>
        <w:adjustRightInd w:val="0"/>
        <w:snapToGrid w:val="0"/>
        <w:spacing w:line="500" w:lineRule="exact"/>
        <w:outlineLvl w:val="9"/>
        <w:rPr>
          <w:rFonts w:hint="eastAsia" w:ascii="仿宋" w:hAnsi="仿宋" w:eastAsia="仿宋" w:cs="仿宋"/>
          <w:i/>
          <w:iCs/>
          <w:color w:val="auto"/>
          <w:szCs w:val="21"/>
          <w:highlight w:val="none"/>
        </w:rPr>
      </w:pPr>
      <w:r>
        <w:rPr>
          <w:rFonts w:hint="eastAsia" w:ascii="仿宋" w:hAnsi="仿宋" w:eastAsia="仿宋" w:cs="仿宋"/>
          <w:color w:val="auto"/>
          <w:szCs w:val="21"/>
          <w:highlight w:val="none"/>
        </w:rPr>
        <w:t>招标项目编号：</w:t>
      </w:r>
      <w:r>
        <w:rPr>
          <w:rFonts w:hint="eastAsia" w:ascii="仿宋" w:hAnsi="仿宋" w:eastAsia="仿宋" w:cs="仿宋"/>
          <w:i/>
          <w:iCs/>
          <w:color w:val="auto"/>
          <w:szCs w:val="21"/>
          <w:highlight w:val="none"/>
        </w:rPr>
        <w:t xml:space="preserve"> </w:t>
      </w:r>
      <w:r>
        <w:rPr>
          <w:rFonts w:hint="eastAsia" w:ascii="仿宋" w:hAnsi="仿宋" w:eastAsia="仿宋" w:cs="仿宋"/>
          <w:color w:val="auto"/>
          <w:szCs w:val="21"/>
          <w:highlight w:val="none"/>
          <w:u w:val="single"/>
        </w:rPr>
        <w:t xml:space="preserve">                         </w:t>
      </w:r>
    </w:p>
    <w:p>
      <w:pPr>
        <w:shd w:val="clear" w:color="auto" w:fill="auto"/>
        <w:spacing w:line="5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单位：元（人民币）</w:t>
      </w:r>
    </w:p>
    <w:tbl>
      <w:tblPr>
        <w:tblStyle w:val="23"/>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2" w:hRule="atLeast"/>
        </w:trPr>
        <w:tc>
          <w:tcPr>
            <w:tcW w:w="2595" w:type="dxa"/>
            <w:gridSpan w:val="2"/>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投标项目名称</w:t>
            </w:r>
          </w:p>
        </w:tc>
        <w:tc>
          <w:tcPr>
            <w:tcW w:w="6185" w:type="dxa"/>
            <w:noWrap w:val="0"/>
            <w:vAlign w:val="center"/>
          </w:tcPr>
          <w:p>
            <w:pPr>
              <w:shd w:val="clear" w:color="auto" w:fill="auto"/>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供货期</w:t>
            </w:r>
            <w:r>
              <w:rPr>
                <w:rFonts w:hint="eastAsia" w:ascii="仿宋" w:hAnsi="仿宋" w:eastAsia="仿宋" w:cs="仿宋"/>
                <w:color w:val="auto"/>
                <w:szCs w:val="21"/>
                <w:highlight w:val="none"/>
                <w:lang w:eastAsia="zh-CN"/>
              </w:rPr>
              <w:t>（天）</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投标有效期</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投标报价</w:t>
            </w:r>
          </w:p>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1" w:hRule="atLeast"/>
        </w:trPr>
        <w:tc>
          <w:tcPr>
            <w:tcW w:w="1621" w:type="dxa"/>
            <w:vMerge w:val="continue"/>
            <w:noWrap w:val="0"/>
            <w:vAlign w:val="center"/>
          </w:tcPr>
          <w:p>
            <w:pPr>
              <w:shd w:val="clear" w:color="auto" w:fill="auto"/>
              <w:jc w:val="center"/>
              <w:outlineLvl w:val="9"/>
              <w:rPr>
                <w:rFonts w:hint="eastAsia" w:ascii="仿宋" w:hAnsi="仿宋" w:eastAsia="仿宋" w:cs="仿宋"/>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大写</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bl>
    <w:p>
      <w:pPr>
        <w:shd w:val="clear" w:color="auto" w:fill="auto"/>
        <w:spacing w:line="500" w:lineRule="exact"/>
        <w:ind w:firstLine="479"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填写说明：</w:t>
      </w:r>
    </w:p>
    <w:p>
      <w:pPr>
        <w:shd w:val="clear" w:color="auto" w:fill="auto"/>
        <w:spacing w:line="500" w:lineRule="exact"/>
        <w:ind w:firstLine="479"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color w:val="auto"/>
          <w:sz w:val="24"/>
          <w:highlight w:val="none"/>
        </w:rPr>
        <w:t>。</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4.必须在投标文件中装订。</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5.投标报价不得填报选择性报价。</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月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pPr>
        <w:numPr>
          <w:ilvl w:val="0"/>
          <w:numId w:val="0"/>
        </w:numPr>
        <w:shd w:val="clear" w:color="auto" w:fill="auto"/>
        <w:tabs>
          <w:tab w:val="left" w:pos="540"/>
        </w:tabs>
        <w:spacing w:before="0" w:line="240" w:lineRule="atLeast"/>
        <w:outlineLvl w:val="9"/>
        <w:rPr>
          <w:rFonts w:hint="eastAsia" w:ascii="宋体" w:hAnsi="宋体" w:eastAsia="宋体" w:cs="宋体"/>
          <w:b/>
          <w:bCs/>
          <w:color w:val="auto"/>
          <w:sz w:val="24"/>
          <w:highlight w:val="none"/>
        </w:rPr>
      </w:pPr>
    </w:p>
    <w:p>
      <w:pPr>
        <w:numPr>
          <w:ilvl w:val="0"/>
          <w:numId w:val="0"/>
        </w:numPr>
        <w:shd w:val="clear" w:color="auto" w:fill="auto"/>
        <w:tabs>
          <w:tab w:val="left" w:pos="540"/>
        </w:tabs>
        <w:spacing w:before="0" w:line="240" w:lineRule="atLeast"/>
        <w:outlineLvl w:val="9"/>
        <w:rPr>
          <w:rFonts w:hint="eastAsia" w:ascii="宋体" w:hAnsi="宋体" w:eastAsia="宋体" w:cs="宋体"/>
          <w:b/>
          <w:bCs/>
          <w:color w:val="auto"/>
          <w:sz w:val="24"/>
          <w:highlight w:val="none"/>
        </w:rPr>
      </w:pP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color w:val="auto"/>
          <w:spacing w:val="0"/>
          <w:w w:val="100"/>
          <w:position w:val="0"/>
          <w:highlight w:val="none"/>
          <w:lang w:val="en-US" w:eastAsia="zh-CN"/>
        </w:rPr>
      </w:pPr>
      <w:bookmarkStart w:id="103" w:name="_Toc10322"/>
      <w:bookmarkStart w:id="104" w:name="_Toc3162"/>
      <w:bookmarkStart w:id="105" w:name="_Toc19182"/>
      <w:bookmarkStart w:id="106" w:name="_Toc9054"/>
      <w:bookmarkStart w:id="107" w:name="_Toc21651"/>
      <w:bookmarkStart w:id="108" w:name="_Toc9019"/>
      <w:r>
        <w:rPr>
          <w:rFonts w:hint="eastAsia" w:ascii="仿宋" w:hAnsi="仿宋" w:eastAsia="仿宋" w:cs="仿宋"/>
          <w:b/>
          <w:bCs/>
          <w:color w:val="auto"/>
          <w:spacing w:val="0"/>
          <w:w w:val="100"/>
          <w:position w:val="0"/>
          <w:highlight w:val="none"/>
          <w:lang w:val="en-US" w:eastAsia="zh-CN"/>
        </w:rPr>
        <w:t>3、货物说明一览表</w:t>
      </w:r>
      <w:bookmarkEnd w:id="103"/>
      <w:bookmarkEnd w:id="104"/>
      <w:bookmarkEnd w:id="105"/>
      <w:bookmarkEnd w:id="106"/>
      <w:bookmarkEnd w:id="107"/>
      <w:bookmarkEnd w:id="108"/>
    </w:p>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rPr>
      </w:pPr>
    </w:p>
    <w:tbl>
      <w:tblPr>
        <w:tblStyle w:val="23"/>
        <w:tblW w:w="10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1225"/>
        <w:gridCol w:w="1225"/>
        <w:gridCol w:w="1138"/>
        <w:gridCol w:w="1275"/>
        <w:gridCol w:w="125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96" w:type="dxa"/>
            <w:noWrap w:val="0"/>
            <w:vAlign w:val="top"/>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序号</w:t>
            </w:r>
          </w:p>
        </w:tc>
        <w:tc>
          <w:tcPr>
            <w:tcW w:w="1601"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货物名称</w:t>
            </w:r>
          </w:p>
        </w:tc>
        <w:tc>
          <w:tcPr>
            <w:tcW w:w="122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Cs w:val="21"/>
                <w:highlight w:val="none"/>
                <w:lang w:eastAsia="zh-CN"/>
              </w:rPr>
              <w:t>品牌型号</w:t>
            </w:r>
          </w:p>
        </w:tc>
        <w:tc>
          <w:tcPr>
            <w:tcW w:w="122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主要规格</w:t>
            </w:r>
          </w:p>
        </w:tc>
        <w:tc>
          <w:tcPr>
            <w:tcW w:w="1138"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数量</w:t>
            </w:r>
          </w:p>
        </w:tc>
        <w:tc>
          <w:tcPr>
            <w:tcW w:w="127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供货期</w:t>
            </w:r>
          </w:p>
        </w:tc>
        <w:tc>
          <w:tcPr>
            <w:tcW w:w="1250"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交货地点</w:t>
            </w:r>
          </w:p>
        </w:tc>
        <w:tc>
          <w:tcPr>
            <w:tcW w:w="1690"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6"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96"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6"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96"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bl>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2"/>
        <w:shd w:val="clear" w:color="auto" w:fill="auto"/>
        <w:spacing w:line="240" w:lineRule="atLeast"/>
        <w:ind w:left="1169" w:leftChars="257" w:hanging="540"/>
        <w:outlineLvl w:val="9"/>
        <w:rPr>
          <w:rFonts w:hint="eastAsia" w:ascii="宋体" w:hAnsi="宋体" w:eastAsia="宋体" w:cs="宋体"/>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r>
        <w:rPr>
          <w:rFonts w:hint="eastAsia" w:ascii="宋体" w:hAnsi="宋体" w:eastAsia="宋体" w:cs="宋体"/>
          <w:color w:val="auto"/>
          <w:sz w:val="24"/>
          <w:highlight w:val="none"/>
          <w:u w:val="single"/>
        </w:rPr>
        <w:t xml:space="preserve">         </w:t>
      </w:r>
    </w:p>
    <w:p>
      <w:pPr>
        <w:pStyle w:val="12"/>
        <w:shd w:val="clear" w:color="auto" w:fill="auto"/>
        <w:tabs>
          <w:tab w:val="left" w:pos="5370"/>
        </w:tabs>
        <w:spacing w:line="240" w:lineRule="atLeast"/>
        <w:ind w:left="1169" w:leftChars="257" w:hanging="540"/>
        <w:outlineLvl w:val="9"/>
        <w:rPr>
          <w:rFonts w:hint="eastAsia" w:ascii="宋体" w:hAnsi="宋体" w:eastAsia="宋体" w:cs="宋体"/>
          <w:color w:val="auto"/>
          <w:sz w:val="24"/>
          <w:highlight w:val="none"/>
        </w:rPr>
      </w:pPr>
    </w:p>
    <w:p>
      <w:pPr>
        <w:pStyle w:val="12"/>
        <w:shd w:val="clear" w:color="auto" w:fill="auto"/>
        <w:tabs>
          <w:tab w:val="left" w:pos="5370"/>
        </w:tabs>
        <w:spacing w:line="240" w:lineRule="atLeast"/>
        <w:ind w:left="1169" w:leftChars="257" w:hanging="54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2"/>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pPr>
        <w:pStyle w:val="12"/>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p>
    <w:p>
      <w:pPr>
        <w:pStyle w:val="12"/>
        <w:shd w:val="clear" w:color="auto" w:fill="auto"/>
        <w:spacing w:line="240" w:lineRule="atLeast"/>
        <w:ind w:left="1169" w:leftChars="257" w:hanging="540"/>
        <w:jc w:val="center"/>
        <w:outlineLvl w:val="9"/>
        <w:rPr>
          <w:rFonts w:hint="eastAsia" w:ascii="仿宋" w:hAnsi="仿宋" w:eastAsia="仿宋" w:cs="仿宋"/>
          <w:color w:val="auto"/>
          <w:sz w:val="24"/>
          <w:highlight w:val="none"/>
        </w:rPr>
        <w:sectPr>
          <w:footerReference r:id="rId11" w:type="default"/>
          <w:pgSz w:w="11905" w:h="16838"/>
          <w:pgMar w:top="1440" w:right="1417" w:bottom="1440" w:left="1417" w:header="850" w:footer="992" w:gutter="0"/>
          <w:pgNumType w:fmt="decimal"/>
          <w:cols w:space="0" w:num="1"/>
          <w:rtlGutter w:val="0"/>
          <w:docGrid w:type="linesAndChars" w:linePitch="335" w:charSpace="1057"/>
        </w:sectPr>
      </w:pP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i w:val="0"/>
          <w:iCs w:val="0"/>
          <w:color w:val="auto"/>
          <w:spacing w:val="0"/>
          <w:w w:val="100"/>
          <w:position w:val="0"/>
          <w:highlight w:val="none"/>
        </w:rPr>
      </w:pPr>
      <w:bookmarkStart w:id="109" w:name="_Toc4468"/>
      <w:bookmarkStart w:id="110" w:name="_Toc24160"/>
      <w:bookmarkStart w:id="111" w:name="_Toc1219"/>
      <w:bookmarkStart w:id="112" w:name="_Toc4302"/>
      <w:bookmarkStart w:id="113" w:name="_Toc23637"/>
      <w:bookmarkStart w:id="114" w:name="_Toc17635"/>
      <w:r>
        <w:rPr>
          <w:rFonts w:hint="eastAsia" w:ascii="仿宋" w:hAnsi="仿宋" w:eastAsia="仿宋" w:cs="仿宋"/>
          <w:b/>
          <w:bCs/>
          <w:i w:val="0"/>
          <w:iCs w:val="0"/>
          <w:color w:val="auto"/>
          <w:spacing w:val="0"/>
          <w:w w:val="100"/>
          <w:position w:val="0"/>
          <w:highlight w:val="none"/>
          <w:lang w:val="en-US" w:eastAsia="zh-CN"/>
        </w:rPr>
        <w:t>4</w:t>
      </w:r>
      <w:r>
        <w:rPr>
          <w:rFonts w:hint="eastAsia" w:ascii="仿宋" w:hAnsi="仿宋" w:eastAsia="仿宋" w:cs="仿宋"/>
          <w:b/>
          <w:bCs/>
          <w:i w:val="0"/>
          <w:iCs w:val="0"/>
          <w:color w:val="auto"/>
          <w:spacing w:val="0"/>
          <w:w w:val="100"/>
          <w:position w:val="0"/>
          <w:highlight w:val="none"/>
          <w:lang w:eastAsia="zh-CN"/>
        </w:rPr>
        <w:t>、</w:t>
      </w:r>
      <w:r>
        <w:rPr>
          <w:rFonts w:hint="eastAsia" w:ascii="仿宋" w:hAnsi="仿宋" w:eastAsia="仿宋" w:cs="仿宋"/>
          <w:b/>
          <w:bCs/>
          <w:i w:val="0"/>
          <w:iCs w:val="0"/>
          <w:color w:val="auto"/>
          <w:spacing w:val="0"/>
          <w:w w:val="100"/>
          <w:position w:val="0"/>
          <w:highlight w:val="none"/>
        </w:rPr>
        <w:t>投标报价明细表</w:t>
      </w:r>
      <w:bookmarkEnd w:id="109"/>
      <w:bookmarkEnd w:id="110"/>
      <w:bookmarkEnd w:id="111"/>
      <w:bookmarkEnd w:id="112"/>
      <w:bookmarkEnd w:id="113"/>
      <w:bookmarkEnd w:id="114"/>
    </w:p>
    <w:p>
      <w:pPr>
        <w:pStyle w:val="34"/>
        <w:keepNext/>
        <w:keepLines/>
        <w:widowControl w:val="0"/>
        <w:numPr>
          <w:ilvl w:val="0"/>
          <w:numId w:val="0"/>
        </w:numPr>
        <w:shd w:val="clear" w:color="auto" w:fill="auto"/>
        <w:bidi w:val="0"/>
        <w:spacing w:before="0" w:after="220" w:line="240" w:lineRule="auto"/>
        <w:ind w:right="0" w:rightChars="0"/>
        <w:jc w:val="both"/>
        <w:outlineLvl w:val="9"/>
        <w:rPr>
          <w:rFonts w:hint="eastAsia" w:ascii="仿宋" w:hAnsi="仿宋" w:eastAsia="仿宋" w:cs="仿宋"/>
          <w:color w:val="auto"/>
          <w:sz w:val="24"/>
          <w:highlight w:val="none"/>
        </w:rPr>
      </w:pPr>
      <w:bookmarkStart w:id="115" w:name="_Toc1002"/>
      <w:bookmarkStart w:id="116" w:name="_Toc15970"/>
      <w:bookmarkStart w:id="117" w:name="_Toc17844"/>
      <w:bookmarkStart w:id="118" w:name="_Toc21879"/>
      <w:bookmarkStart w:id="119" w:name="_Toc9703"/>
      <w:bookmarkStart w:id="120" w:name="_Toc10498"/>
      <w:r>
        <w:rPr>
          <w:rFonts w:hint="eastAsia" w:ascii="仿宋" w:hAnsi="仿宋" w:eastAsia="仿宋" w:cs="仿宋"/>
          <w:color w:val="auto"/>
          <w:sz w:val="24"/>
          <w:highlight w:val="none"/>
        </w:rPr>
        <w:t>项目名称:</w:t>
      </w:r>
      <w:bookmarkEnd w:id="115"/>
      <w:bookmarkEnd w:id="116"/>
      <w:bookmarkEnd w:id="117"/>
      <w:bookmarkEnd w:id="118"/>
      <w:bookmarkEnd w:id="119"/>
      <w:bookmarkEnd w:id="120"/>
      <w:r>
        <w:rPr>
          <w:rFonts w:hint="eastAsia" w:ascii="仿宋" w:hAnsi="仿宋" w:eastAsia="仿宋" w:cs="仿宋"/>
          <w:color w:val="auto"/>
          <w:sz w:val="24"/>
          <w:highlight w:val="none"/>
        </w:rPr>
        <w:t xml:space="preserve">                      </w:t>
      </w:r>
    </w:p>
    <w:p>
      <w:pPr>
        <w:pStyle w:val="34"/>
        <w:keepNext/>
        <w:keepLines/>
        <w:widowControl w:val="0"/>
        <w:numPr>
          <w:ilvl w:val="0"/>
          <w:numId w:val="0"/>
        </w:numPr>
        <w:shd w:val="clear" w:color="auto" w:fill="auto"/>
        <w:bidi w:val="0"/>
        <w:spacing w:before="0" w:after="220" w:line="240" w:lineRule="auto"/>
        <w:ind w:right="0" w:rightChars="0"/>
        <w:jc w:val="both"/>
        <w:outlineLvl w:val="9"/>
        <w:rPr>
          <w:rFonts w:hint="eastAsia" w:ascii="仿宋" w:hAnsi="仿宋" w:eastAsia="仿宋" w:cs="仿宋"/>
          <w:color w:val="auto"/>
          <w:sz w:val="24"/>
          <w:highlight w:val="none"/>
        </w:rPr>
      </w:pPr>
      <w:bookmarkStart w:id="121" w:name="_Toc28765"/>
      <w:bookmarkStart w:id="122" w:name="_Toc27922"/>
      <w:bookmarkStart w:id="123" w:name="_Toc12706"/>
      <w:bookmarkStart w:id="124" w:name="_Toc31050"/>
      <w:bookmarkStart w:id="125" w:name="_Toc28736"/>
      <w:bookmarkStart w:id="126" w:name="_Toc30794"/>
      <w:r>
        <w:rPr>
          <w:rFonts w:hint="eastAsia" w:ascii="仿宋" w:hAnsi="仿宋" w:eastAsia="仿宋" w:cs="仿宋"/>
          <w:color w:val="auto"/>
          <w:sz w:val="24"/>
          <w:highlight w:val="none"/>
        </w:rPr>
        <w:t xml:space="preserve">招标编号: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包号:</w:t>
      </w:r>
      <w:bookmarkEnd w:id="121"/>
      <w:bookmarkEnd w:id="122"/>
      <w:bookmarkEnd w:id="123"/>
      <w:bookmarkEnd w:id="124"/>
      <w:bookmarkEnd w:id="125"/>
      <w:bookmarkEnd w:id="126"/>
      <w:r>
        <w:rPr>
          <w:rFonts w:hint="eastAsia" w:ascii="仿宋" w:hAnsi="仿宋" w:eastAsia="仿宋" w:cs="仿宋"/>
          <w:color w:val="auto"/>
          <w:sz w:val="24"/>
          <w:highlight w:val="none"/>
        </w:rPr>
        <w:t xml:space="preserve"> 　 </w:t>
      </w:r>
    </w:p>
    <w:p>
      <w:pPr>
        <w:pStyle w:val="12"/>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单位：</w:t>
      </w:r>
      <w:r>
        <w:rPr>
          <w:rFonts w:hint="eastAsia" w:ascii="仿宋" w:hAnsi="仿宋" w:eastAsia="仿宋" w:cs="仿宋"/>
          <w:color w:val="auto"/>
          <w:szCs w:val="21"/>
          <w:highlight w:val="none"/>
        </w:rPr>
        <w:t>元（人民币）</w:t>
      </w:r>
    </w:p>
    <w:tbl>
      <w:tblPr>
        <w:tblStyle w:val="23"/>
        <w:tblW w:w="87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1"/>
        <w:gridCol w:w="1457"/>
        <w:gridCol w:w="1360"/>
        <w:gridCol w:w="1870"/>
        <w:gridCol w:w="825"/>
        <w:gridCol w:w="782"/>
        <w:gridCol w:w="739"/>
        <w:gridCol w:w="9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8" w:hRule="atLeast"/>
          <w:jc w:val="center"/>
        </w:trPr>
        <w:tc>
          <w:tcPr>
            <w:tcW w:w="821" w:type="dxa"/>
            <w:tcBorders>
              <w:top w:val="single" w:color="auto" w:sz="12"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457"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品目名称</w:t>
            </w:r>
          </w:p>
        </w:tc>
        <w:tc>
          <w:tcPr>
            <w:tcW w:w="1360"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品牌型号</w:t>
            </w:r>
          </w:p>
        </w:tc>
        <w:tc>
          <w:tcPr>
            <w:tcW w:w="1870" w:type="dxa"/>
            <w:tcBorders>
              <w:top w:val="single" w:color="auto" w:sz="12" w:space="0"/>
              <w:left w:val="single" w:color="auto" w:sz="6" w:space="0"/>
              <w:bottom w:val="single" w:color="auto" w:sz="6" w:space="0"/>
              <w:right w:val="single" w:color="auto" w:sz="4" w:space="0"/>
            </w:tcBorders>
            <w:noWrap w:val="0"/>
            <w:vAlign w:val="center"/>
          </w:tcPr>
          <w:p>
            <w:pPr>
              <w:spacing w:line="5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主要技术参数</w:t>
            </w:r>
          </w:p>
        </w:tc>
        <w:tc>
          <w:tcPr>
            <w:tcW w:w="825"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782"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单位</w:t>
            </w:r>
          </w:p>
        </w:tc>
        <w:tc>
          <w:tcPr>
            <w:tcW w:w="739"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单价</w:t>
            </w:r>
          </w:p>
        </w:tc>
        <w:tc>
          <w:tcPr>
            <w:tcW w:w="922"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总价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6"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bl>
    <w:p>
      <w:pPr>
        <w:pStyle w:val="38"/>
        <w:keepNext w:val="0"/>
        <w:keepLines w:val="0"/>
        <w:pageBreakBefore w:val="0"/>
        <w:widowControl w:val="0"/>
        <w:shd w:val="clear" w:color="auto" w:fill="auto"/>
        <w:kinsoku/>
        <w:wordWrap/>
        <w:overflowPunct/>
        <w:topLinePunct w:val="0"/>
        <w:autoSpaceDE/>
        <w:autoSpaceDN/>
        <w:bidi w:val="0"/>
        <w:adjustRightInd/>
        <w:snapToGrid/>
        <w:spacing w:before="0" w:after="0" w:line="357" w:lineRule="exact"/>
        <w:ind w:left="176" w:right="0" w:firstLine="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说明：</w:t>
      </w:r>
      <w:r>
        <w:rPr>
          <w:rFonts w:hint="eastAsia" w:ascii="仿宋" w:hAnsi="仿宋" w:eastAsia="仿宋" w:cs="仿宋"/>
          <w:color w:val="auto"/>
          <w:spacing w:val="0"/>
          <w:w w:val="100"/>
          <w:position w:val="0"/>
          <w:sz w:val="24"/>
          <w:szCs w:val="24"/>
          <w:highlight w:val="none"/>
          <w:lang w:val="en-US" w:eastAsia="en-US" w:bidi="en-US"/>
        </w:rPr>
        <w:t>1.</w:t>
      </w:r>
      <w:r>
        <w:rPr>
          <w:rFonts w:hint="eastAsia" w:ascii="仿宋" w:hAnsi="仿宋" w:eastAsia="仿宋" w:cs="仿宋"/>
          <w:color w:val="auto"/>
          <w:spacing w:val="0"/>
          <w:w w:val="100"/>
          <w:position w:val="0"/>
          <w:sz w:val="24"/>
          <w:szCs w:val="24"/>
          <w:highlight w:val="none"/>
        </w:rPr>
        <w:t>所有价格均用人民币表示，单位为元。</w:t>
      </w:r>
    </w:p>
    <w:p>
      <w:pPr>
        <w:pStyle w:val="38"/>
        <w:keepNext w:val="0"/>
        <w:keepLines w:val="0"/>
        <w:pageBreakBefore w:val="0"/>
        <w:widowControl w:val="0"/>
        <w:numPr>
          <w:ilvl w:val="0"/>
          <w:numId w:val="0"/>
        </w:numPr>
        <w:shd w:val="clear" w:color="auto" w:fill="auto"/>
        <w:tabs>
          <w:tab w:val="left" w:pos="378"/>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lang w:val="en-US" w:eastAsia="zh-CN"/>
        </w:rPr>
        <w:t>2.</w:t>
      </w:r>
      <w:r>
        <w:rPr>
          <w:rFonts w:hint="eastAsia" w:ascii="仿宋" w:hAnsi="仿宋" w:eastAsia="仿宋" w:cs="仿宋"/>
          <w:color w:val="auto"/>
          <w:spacing w:val="0"/>
          <w:w w:val="100"/>
          <w:position w:val="0"/>
          <w:sz w:val="24"/>
          <w:szCs w:val="24"/>
          <w:highlight w:val="none"/>
        </w:rPr>
        <w:t>报价总计价格必须与《</w:t>
      </w:r>
      <w:r>
        <w:rPr>
          <w:rFonts w:hint="eastAsia" w:ascii="仿宋" w:hAnsi="仿宋" w:eastAsia="仿宋" w:cs="仿宋"/>
          <w:color w:val="auto"/>
          <w:spacing w:val="0"/>
          <w:w w:val="100"/>
          <w:position w:val="0"/>
          <w:sz w:val="24"/>
          <w:szCs w:val="24"/>
          <w:highlight w:val="none"/>
          <w:lang w:eastAsia="zh-CN"/>
        </w:rPr>
        <w:t>投标报价单</w:t>
      </w:r>
      <w:r>
        <w:rPr>
          <w:rFonts w:hint="eastAsia" w:ascii="仿宋" w:hAnsi="仿宋" w:eastAsia="仿宋" w:cs="仿宋"/>
          <w:color w:val="auto"/>
          <w:spacing w:val="0"/>
          <w:w w:val="100"/>
          <w:position w:val="0"/>
          <w:sz w:val="24"/>
          <w:szCs w:val="24"/>
          <w:highlight w:val="none"/>
        </w:rPr>
        <w:t>》报价一致。</w:t>
      </w:r>
    </w:p>
    <w:p>
      <w:pPr>
        <w:pStyle w:val="38"/>
        <w:keepNext w:val="0"/>
        <w:keepLines w:val="0"/>
        <w:pageBreakBefore w:val="0"/>
        <w:widowControl w:val="0"/>
        <w:numPr>
          <w:ilvl w:val="0"/>
          <w:numId w:val="0"/>
        </w:numPr>
        <w:shd w:val="clear" w:color="auto" w:fill="auto"/>
        <w:tabs>
          <w:tab w:val="left" w:pos="409"/>
          <w:tab w:val="left" w:pos="490"/>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val="en-US" w:eastAsia="zh-CN"/>
        </w:rPr>
        <w:t>3.</w:t>
      </w:r>
      <w:r>
        <w:rPr>
          <w:rFonts w:hint="eastAsia" w:ascii="仿宋" w:hAnsi="仿宋" w:eastAsia="仿宋" w:cs="仿宋"/>
          <w:color w:val="auto"/>
          <w:spacing w:val="0"/>
          <w:w w:val="100"/>
          <w:position w:val="0"/>
          <w:sz w:val="24"/>
          <w:szCs w:val="24"/>
          <w:highlight w:val="none"/>
        </w:rPr>
        <w:t>如果不提供详细的分项报价表将被视为没有实质性</w:t>
      </w:r>
      <w:r>
        <w:rPr>
          <w:rFonts w:hint="eastAsia" w:ascii="仿宋" w:hAnsi="仿宋" w:eastAsia="仿宋" w:cs="仿宋"/>
          <w:color w:val="auto"/>
          <w:spacing w:val="0"/>
          <w:w w:val="100"/>
          <w:position w:val="0"/>
          <w:sz w:val="24"/>
          <w:szCs w:val="24"/>
          <w:highlight w:val="none"/>
          <w:lang w:eastAsia="zh-CN"/>
        </w:rPr>
        <w:t>投标文件</w:t>
      </w:r>
      <w:r>
        <w:rPr>
          <w:rFonts w:hint="eastAsia" w:ascii="仿宋" w:hAnsi="仿宋" w:eastAsia="仿宋" w:cs="仿宋"/>
          <w:color w:val="auto"/>
          <w:spacing w:val="0"/>
          <w:w w:val="100"/>
          <w:position w:val="0"/>
          <w:sz w:val="24"/>
          <w:szCs w:val="24"/>
          <w:highlight w:val="none"/>
        </w:rPr>
        <w:t>。</w:t>
      </w:r>
    </w:p>
    <w:p>
      <w:pPr>
        <w:pStyle w:val="38"/>
        <w:keepNext w:val="0"/>
        <w:keepLines w:val="0"/>
        <w:pageBreakBefore w:val="0"/>
        <w:widowControl w:val="0"/>
        <w:numPr>
          <w:ilvl w:val="0"/>
          <w:numId w:val="0"/>
        </w:numPr>
        <w:shd w:val="clear" w:color="auto" w:fill="auto"/>
        <w:tabs>
          <w:tab w:val="left" w:pos="409"/>
          <w:tab w:val="left" w:pos="490"/>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lang w:val="en-US" w:eastAsia="zh-CN"/>
        </w:rPr>
        <w:t>4.</w:t>
      </w:r>
      <w:r>
        <w:rPr>
          <w:rFonts w:hint="eastAsia" w:ascii="仿宋" w:hAnsi="仿宋" w:eastAsia="仿宋" w:cs="仿宋"/>
          <w:color w:val="auto"/>
          <w:spacing w:val="0"/>
          <w:w w:val="100"/>
          <w:position w:val="0"/>
          <w:sz w:val="24"/>
          <w:szCs w:val="24"/>
          <w:highlight w:val="none"/>
        </w:rPr>
        <w:t>投标人必须按此表格式中的对应栏目内容填写，若需增加栏目，请在栏目</w:t>
      </w:r>
      <w:r>
        <w:rPr>
          <w:rFonts w:hint="eastAsia" w:ascii="仿宋" w:hAnsi="仿宋" w:eastAsia="仿宋" w:cs="仿宋"/>
          <w:color w:val="auto"/>
          <w:spacing w:val="0"/>
          <w:w w:val="100"/>
          <w:position w:val="0"/>
          <w:sz w:val="24"/>
          <w:szCs w:val="24"/>
          <w:highlight w:val="none"/>
          <w:lang w:val="zh-CN" w:eastAsia="zh-CN" w:bidi="zh-CN"/>
        </w:rPr>
        <w:t>“其</w:t>
      </w:r>
      <w:r>
        <w:rPr>
          <w:rFonts w:hint="eastAsia" w:ascii="仿宋" w:hAnsi="仿宋" w:eastAsia="仿宋" w:cs="仿宋"/>
          <w:color w:val="auto"/>
          <w:spacing w:val="0"/>
          <w:w w:val="100"/>
          <w:position w:val="0"/>
          <w:sz w:val="24"/>
          <w:szCs w:val="24"/>
          <w:highlight w:val="none"/>
        </w:rPr>
        <w:t>它”中填写，并作详细说明。</w:t>
      </w:r>
    </w:p>
    <w:p>
      <w:pPr>
        <w:pStyle w:val="38"/>
        <w:keepNext w:val="0"/>
        <w:keepLines w:val="0"/>
        <w:pageBreakBefore w:val="0"/>
        <w:widowControl w:val="0"/>
        <w:numPr>
          <w:ilvl w:val="0"/>
          <w:numId w:val="0"/>
        </w:numPr>
        <w:shd w:val="clear" w:color="auto" w:fill="auto"/>
        <w:tabs>
          <w:tab w:val="left" w:pos="493"/>
        </w:tabs>
        <w:kinsoku/>
        <w:wordWrap/>
        <w:overflowPunct/>
        <w:topLinePunct w:val="0"/>
        <w:autoSpaceDE/>
        <w:autoSpaceDN/>
        <w:bidi w:val="0"/>
        <w:adjustRightInd/>
        <w:snapToGrid/>
        <w:spacing w:before="0" w:after="0" w:line="357" w:lineRule="exact"/>
        <w:ind w:left="176" w:leftChars="0" w:right="0" w:rightChars="0"/>
        <w:jc w:val="left"/>
        <w:textAlignment w:val="auto"/>
        <w:outlineLvl w:val="9"/>
        <w:rPr>
          <w:rFonts w:hint="eastAsia" w:ascii="仿宋" w:hAnsi="仿宋" w:eastAsia="仿宋" w:cs="仿宋"/>
          <w:color w:val="auto"/>
          <w:spacing w:val="0"/>
          <w:w w:val="100"/>
          <w:position w:val="0"/>
          <w:sz w:val="24"/>
          <w:szCs w:val="24"/>
          <w:highlight w:val="none"/>
        </w:rPr>
      </w:pPr>
    </w:p>
    <w:p>
      <w:pPr>
        <w:pStyle w:val="38"/>
        <w:keepNext w:val="0"/>
        <w:keepLines w:val="0"/>
        <w:widowControl w:val="0"/>
        <w:numPr>
          <w:ilvl w:val="0"/>
          <w:numId w:val="0"/>
        </w:numPr>
        <w:shd w:val="clear" w:color="auto" w:fill="auto"/>
        <w:tabs>
          <w:tab w:val="left" w:pos="493"/>
        </w:tabs>
        <w:bidi w:val="0"/>
        <w:spacing w:before="0" w:after="0" w:line="317" w:lineRule="exact"/>
        <w:ind w:left="176" w:leftChars="0" w:right="0" w:rightChars="0"/>
        <w:jc w:val="left"/>
        <w:outlineLvl w:val="9"/>
        <w:rPr>
          <w:rFonts w:hint="eastAsia" w:ascii="仿宋" w:hAnsi="仿宋" w:eastAsia="仿宋" w:cs="仿宋"/>
          <w:color w:val="auto"/>
          <w:spacing w:val="0"/>
          <w:w w:val="100"/>
          <w:position w:val="0"/>
          <w:sz w:val="20"/>
          <w:szCs w:val="20"/>
          <w:highlight w:val="none"/>
        </w:rPr>
      </w:pP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rPr>
        <w:t>（</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2"/>
        <w:numPr>
          <w:ilvl w:val="0"/>
          <w:numId w:val="0"/>
        </w:numPr>
        <w:tabs>
          <w:tab w:val="left" w:pos="5551"/>
          <w:tab w:val="left" w:pos="6511"/>
          <w:tab w:val="left" w:pos="7111"/>
          <w:tab w:val="left" w:pos="7711"/>
        </w:tabs>
        <w:kinsoku w:val="0"/>
        <w:overflowPunct w:val="0"/>
        <w:spacing w:before="46"/>
        <w:ind w:left="3928" w:leftChars="0" w:right="0" w:rightChars="0"/>
        <w:outlineLvl w:val="9"/>
        <w:rPr>
          <w:rFonts w:hint="eastAsia" w:ascii="仿宋" w:hAnsi="仿宋" w:eastAsia="仿宋" w:cs="仿宋"/>
          <w:b/>
          <w:bCs/>
          <w:color w:val="auto"/>
          <w:sz w:val="36"/>
          <w:szCs w:val="36"/>
          <w:highlight w:val="none"/>
          <w:lang w:eastAsia="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color w:val="auto"/>
          <w:spacing w:val="0"/>
          <w:w w:val="100"/>
          <w:position w:val="0"/>
          <w:highlight w:val="none"/>
          <w:lang w:val="en-US" w:eastAsia="zh-CN"/>
        </w:rPr>
      </w:pPr>
      <w:bookmarkStart w:id="127" w:name="_Toc17126"/>
      <w:bookmarkStart w:id="128" w:name="_Toc31583"/>
      <w:bookmarkStart w:id="129" w:name="_Toc14853"/>
      <w:bookmarkStart w:id="130" w:name="_Toc5218"/>
      <w:bookmarkStart w:id="131" w:name="_Toc19895"/>
      <w:bookmarkStart w:id="132" w:name="_Toc21177"/>
      <w:r>
        <w:rPr>
          <w:rFonts w:hint="eastAsia" w:ascii="仿宋" w:hAnsi="仿宋" w:eastAsia="仿宋" w:cs="仿宋"/>
          <w:b/>
          <w:bCs/>
          <w:color w:val="auto"/>
          <w:spacing w:val="0"/>
          <w:w w:val="100"/>
          <w:position w:val="0"/>
          <w:highlight w:val="none"/>
          <w:lang w:val="en-US" w:eastAsia="zh-CN"/>
        </w:rPr>
        <w:t>5、技术条款偏离表</w:t>
      </w:r>
      <w:bookmarkEnd w:id="127"/>
      <w:bookmarkEnd w:id="128"/>
      <w:bookmarkEnd w:id="129"/>
      <w:bookmarkEnd w:id="130"/>
      <w:bookmarkEnd w:id="131"/>
      <w:bookmarkEnd w:id="132"/>
    </w:p>
    <w:tbl>
      <w:tblPr>
        <w:tblStyle w:val="23"/>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序号</w:t>
            </w:r>
          </w:p>
        </w:tc>
        <w:tc>
          <w:tcPr>
            <w:tcW w:w="135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货物名称</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招标文件条目号</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招标文件要求规格</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投标规格</w:t>
            </w:r>
          </w:p>
        </w:tc>
        <w:tc>
          <w:tcPr>
            <w:tcW w:w="132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偏离</w:t>
            </w:r>
          </w:p>
        </w:tc>
        <w:tc>
          <w:tcPr>
            <w:tcW w:w="132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lang w:val="en-US" w:eastAsia="zh-CN"/>
              </w:rPr>
              <w:t>如有正偏离需提供证明材料，证明材料附后(并注明页码)</w:t>
            </w: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bl>
    <w:p>
      <w:pPr>
        <w:spacing w:line="360" w:lineRule="auto"/>
        <w:ind w:firstLine="484" w:firstLineChars="198"/>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pStyle w:val="12"/>
        <w:tabs>
          <w:tab w:val="left" w:pos="5580"/>
        </w:tabs>
        <w:spacing w:line="360" w:lineRule="auto"/>
        <w:ind w:firstLine="3185" w:firstLineChars="1300"/>
        <w:outlineLvl w:val="9"/>
        <w:rPr>
          <w:rFonts w:hint="eastAsia" w:ascii="仿宋" w:hAnsi="仿宋" w:eastAsia="仿宋" w:cs="仿宋"/>
          <w:color w:val="auto"/>
          <w:sz w:val="24"/>
          <w:highlight w:val="none"/>
        </w:rPr>
      </w:pPr>
    </w:p>
    <w:p>
      <w:pPr>
        <w:pStyle w:val="12"/>
        <w:tabs>
          <w:tab w:val="left" w:pos="5580"/>
        </w:tabs>
        <w:spacing w:line="360" w:lineRule="auto"/>
        <w:ind w:firstLine="3185" w:firstLineChars="13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投标人（盖章）：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pStyle w:val="12"/>
        <w:tabs>
          <w:tab w:val="left" w:pos="5580"/>
        </w:tabs>
        <w:spacing w:line="360" w:lineRule="auto"/>
        <w:ind w:firstLine="3185" w:firstLineChars="1300"/>
        <w:outlineLvl w:val="9"/>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sz w:val="24"/>
          <w:highlight w:val="none"/>
          <w:lang w:eastAsia="zh-CN"/>
        </w:rPr>
        <w:t>法定代表人或</w:t>
      </w:r>
      <w:r>
        <w:rPr>
          <w:rFonts w:hint="eastAsia" w:ascii="仿宋" w:hAnsi="仿宋" w:eastAsia="仿宋" w:cs="仿宋"/>
          <w:color w:val="auto"/>
          <w:kern w:val="0"/>
          <w:sz w:val="24"/>
          <w:szCs w:val="24"/>
          <w:highlight w:val="none"/>
        </w:rPr>
        <w:t>委托代理人</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185" w:firstLineChars="13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color w:val="auto"/>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b/>
          <w:bCs/>
          <w:color w:val="auto"/>
          <w:spacing w:val="0"/>
          <w:w w:val="100"/>
          <w:position w:val="0"/>
          <w:sz w:val="36"/>
          <w:szCs w:val="36"/>
          <w:highlight w:val="none"/>
          <w:lang w:eastAsia="zh-CN"/>
        </w:rPr>
      </w:pPr>
      <w:r>
        <w:rPr>
          <w:rFonts w:hint="eastAsia" w:ascii="仿宋" w:hAnsi="仿宋" w:eastAsia="仿宋" w:cs="仿宋"/>
          <w:b/>
          <w:bCs/>
          <w:color w:val="auto"/>
          <w:spacing w:val="0"/>
          <w:w w:val="100"/>
          <w:position w:val="0"/>
          <w:sz w:val="36"/>
          <w:szCs w:val="36"/>
          <w:highlight w:val="none"/>
          <w:lang w:val="en-US" w:eastAsia="zh-CN"/>
        </w:rPr>
        <w:t>6</w:t>
      </w:r>
      <w:r>
        <w:rPr>
          <w:rFonts w:hint="eastAsia" w:ascii="仿宋" w:hAnsi="仿宋" w:eastAsia="仿宋" w:cs="仿宋"/>
          <w:b/>
          <w:bCs/>
          <w:color w:val="auto"/>
          <w:spacing w:val="0"/>
          <w:w w:val="100"/>
          <w:position w:val="0"/>
          <w:sz w:val="36"/>
          <w:szCs w:val="36"/>
          <w:highlight w:val="none"/>
        </w:rPr>
        <w:t>、</w:t>
      </w:r>
      <w:r>
        <w:rPr>
          <w:rFonts w:hint="eastAsia" w:ascii="仿宋" w:hAnsi="仿宋" w:eastAsia="仿宋" w:cs="仿宋"/>
          <w:b/>
          <w:bCs/>
          <w:color w:val="auto"/>
          <w:spacing w:val="0"/>
          <w:w w:val="100"/>
          <w:position w:val="0"/>
          <w:sz w:val="36"/>
          <w:szCs w:val="36"/>
          <w:highlight w:val="none"/>
          <w:lang w:eastAsia="zh-CN"/>
        </w:rPr>
        <w:t>商务条款偏离表</w:t>
      </w:r>
    </w:p>
    <w:tbl>
      <w:tblPr>
        <w:tblStyle w:val="23"/>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154"/>
        <w:gridCol w:w="2477"/>
        <w:gridCol w:w="2454"/>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序号</w:t>
            </w:r>
          </w:p>
        </w:tc>
        <w:tc>
          <w:tcPr>
            <w:tcW w:w="2154" w:type="dxa"/>
            <w:noWrap w:val="0"/>
            <w:vAlign w:val="top"/>
          </w:tcPr>
          <w:p>
            <w:pPr>
              <w:pStyle w:val="12"/>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招标文件条款号</w:t>
            </w:r>
          </w:p>
        </w:tc>
        <w:tc>
          <w:tcPr>
            <w:tcW w:w="2477" w:type="dxa"/>
            <w:noWrap w:val="0"/>
            <w:vAlign w:val="top"/>
          </w:tcPr>
          <w:p>
            <w:pPr>
              <w:pStyle w:val="12"/>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招标文件的商务条款</w:t>
            </w:r>
          </w:p>
        </w:tc>
        <w:tc>
          <w:tcPr>
            <w:tcW w:w="2454" w:type="dxa"/>
            <w:noWrap w:val="0"/>
            <w:vAlign w:val="top"/>
          </w:tcPr>
          <w:p>
            <w:pPr>
              <w:pStyle w:val="12"/>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投标文件的商务条款</w:t>
            </w:r>
          </w:p>
        </w:tc>
        <w:tc>
          <w:tcPr>
            <w:tcW w:w="1130" w:type="dxa"/>
            <w:noWrap w:val="0"/>
            <w:vAlign w:val="top"/>
          </w:tcPr>
          <w:p>
            <w:pPr>
              <w:pStyle w:val="12"/>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2</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3</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4</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5</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6</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7</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8</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9</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10</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11</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12</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13</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14</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15</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bl>
    <w:p>
      <w:pPr>
        <w:outlineLvl w:val="9"/>
        <w:rPr>
          <w:rFonts w:hint="eastAsia" w:ascii="仿宋" w:hAnsi="仿宋" w:eastAsia="仿宋" w:cs="仿宋"/>
          <w:color w:val="auto"/>
          <w:spacing w:val="-1"/>
          <w:kern w:val="0"/>
          <w:sz w:val="24"/>
          <w:highlight w:val="none"/>
        </w:rPr>
      </w:pPr>
    </w:p>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注：请在“偏离说明”栏内扼要说明偏离情况，如无偏离则不需列明。</w:t>
      </w: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highlight w:val="none"/>
        </w:rPr>
      </w:pP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highlight w:val="none"/>
        </w:rPr>
      </w:pP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rPr>
        <w:t>（</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z w:val="24"/>
          <w:szCs w:val="24"/>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b/>
          <w:bCs/>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7、投标人基本情况表</w:t>
      </w:r>
    </w:p>
    <w:p>
      <w:pPr>
        <w:pStyle w:val="2"/>
        <w:numPr>
          <w:ilvl w:val="0"/>
          <w:numId w:val="0"/>
        </w:numPr>
        <w:kinsoku w:val="0"/>
        <w:overflowPunct w:val="0"/>
        <w:spacing w:before="5"/>
        <w:ind w:leftChars="0" w:right="0" w:rightChars="0"/>
        <w:outlineLvl w:val="9"/>
        <w:rPr>
          <w:rFonts w:hint="eastAsia" w:ascii="仿宋" w:hAnsi="仿宋" w:eastAsia="仿宋" w:cs="仿宋"/>
          <w:b/>
          <w:bCs/>
          <w:color w:val="auto"/>
          <w:sz w:val="6"/>
          <w:szCs w:val="6"/>
          <w:highlight w:val="none"/>
        </w:rPr>
      </w:pPr>
    </w:p>
    <w:tbl>
      <w:tblPr>
        <w:tblStyle w:val="23"/>
        <w:tblW w:w="8714" w:type="dxa"/>
        <w:jc w:val="center"/>
        <w:tblLayout w:type="fixed"/>
        <w:tblCellMar>
          <w:top w:w="0" w:type="dxa"/>
          <w:left w:w="0" w:type="dxa"/>
          <w:bottom w:w="0" w:type="dxa"/>
          <w:right w:w="0" w:type="dxa"/>
        </w:tblCellMar>
      </w:tblPr>
      <w:tblGrid>
        <w:gridCol w:w="1242"/>
        <w:gridCol w:w="1445"/>
        <w:gridCol w:w="849"/>
        <w:gridCol w:w="493"/>
        <w:gridCol w:w="655"/>
        <w:gridCol w:w="688"/>
        <w:gridCol w:w="458"/>
        <w:gridCol w:w="367"/>
        <w:gridCol w:w="552"/>
        <w:gridCol w:w="1965"/>
      </w:tblGrid>
      <w:tr>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单位名称</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单位地址</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主管部门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成立时间</w:t>
            </w:r>
          </w:p>
        </w:tc>
        <w:tc>
          <w:tcPr>
            <w:tcW w:w="2294"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294" w:type="dxa"/>
            <w:gridSpan w:val="4"/>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81"/>
              <w:outlineLvl w:val="9"/>
              <w:rPr>
                <w:rFonts w:hint="eastAsia" w:ascii="仿宋" w:hAnsi="仿宋" w:eastAsia="仿宋" w:cs="仿宋"/>
                <w:color w:val="auto"/>
                <w:highlight w:val="none"/>
              </w:rPr>
            </w:pPr>
            <w:r>
              <w:rPr>
                <w:rFonts w:hint="eastAsia" w:ascii="仿宋" w:hAnsi="仿宋" w:eastAsia="仿宋" w:cs="仿宋"/>
                <w:color w:val="auto"/>
                <w:highlight w:val="none"/>
              </w:rPr>
              <w:t>注册资金（万元）</w:t>
            </w:r>
          </w:p>
        </w:tc>
        <w:tc>
          <w:tcPr>
            <w:tcW w:w="2884"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6"/>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单位性质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rPr>
          <w:trHeight w:val="933"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1" w:line="312" w:lineRule="exact"/>
              <w:ind w:left="257" w:right="133" w:hanging="120"/>
              <w:outlineLvl w:val="9"/>
              <w:rPr>
                <w:rFonts w:hint="eastAsia" w:ascii="仿宋" w:hAnsi="仿宋" w:eastAsia="仿宋" w:cs="仿宋"/>
                <w:color w:val="auto"/>
                <w:highlight w:val="none"/>
              </w:rPr>
            </w:pPr>
            <w:r>
              <w:rPr>
                <w:rFonts w:hint="eastAsia" w:ascii="仿宋" w:hAnsi="仿宋" w:eastAsia="仿宋" w:cs="仿宋"/>
                <w:color w:val="auto"/>
                <w:highlight w:val="none"/>
              </w:rPr>
              <w:t>投标期间 联系人</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4"/>
              <w:outlineLvl w:val="9"/>
              <w:rPr>
                <w:rFonts w:hint="eastAsia" w:ascii="仿宋" w:hAnsi="仿宋" w:eastAsia="仿宋" w:cs="仿宋"/>
                <w:b/>
                <w:bCs/>
                <w:color w:val="auto"/>
                <w:sz w:val="20"/>
                <w:szCs w:val="20"/>
                <w:highlight w:val="none"/>
              </w:rPr>
            </w:pPr>
          </w:p>
          <w:p>
            <w:pPr>
              <w:pStyle w:val="39"/>
              <w:kinsoku w:val="0"/>
              <w:overflowPunct w:val="0"/>
              <w:ind w:left="366"/>
              <w:outlineLvl w:val="9"/>
              <w:rPr>
                <w:rFonts w:hint="eastAsia" w:ascii="仿宋" w:hAnsi="仿宋" w:eastAsia="仿宋" w:cs="仿宋"/>
                <w:color w:val="auto"/>
                <w:highlight w:val="none"/>
              </w:rPr>
            </w:pPr>
            <w:r>
              <w:rPr>
                <w:rFonts w:hint="eastAsia" w:ascii="仿宋" w:hAnsi="仿宋" w:eastAsia="仿宋" w:cs="仿宋"/>
                <w:color w:val="auto"/>
                <w:highlight w:val="none"/>
              </w:rPr>
              <w:t>电 话</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37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4"/>
              <w:outlineLvl w:val="9"/>
              <w:rPr>
                <w:rFonts w:hint="eastAsia" w:ascii="仿宋" w:hAnsi="仿宋" w:eastAsia="仿宋" w:cs="仿宋"/>
                <w:b/>
                <w:bCs/>
                <w:color w:val="auto"/>
                <w:sz w:val="20"/>
                <w:szCs w:val="20"/>
                <w:highlight w:val="none"/>
              </w:rPr>
            </w:pPr>
          </w:p>
          <w:p>
            <w:pPr>
              <w:pStyle w:val="39"/>
              <w:kinsoku w:val="0"/>
              <w:overflowPunct w:val="0"/>
              <w:ind w:left="383"/>
              <w:outlineLvl w:val="9"/>
              <w:rPr>
                <w:rFonts w:hint="eastAsia" w:ascii="仿宋" w:hAnsi="仿宋" w:eastAsia="仿宋" w:cs="仿宋"/>
                <w:color w:val="auto"/>
                <w:highlight w:val="none"/>
              </w:rPr>
            </w:pPr>
            <w:r>
              <w:rPr>
                <w:rFonts w:hint="eastAsia" w:ascii="仿宋" w:hAnsi="仿宋" w:eastAsia="仿宋" w:cs="仿宋"/>
                <w:color w:val="auto"/>
                <w:highlight w:val="none"/>
              </w:rPr>
              <w:t>传 真</w:t>
            </w:r>
          </w:p>
        </w:tc>
        <w:tc>
          <w:tcPr>
            <w:tcW w:w="196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rPr>
          <w:trHeight w:val="691" w:hRule="exact"/>
          <w:jc w:val="center"/>
        </w:trPr>
        <w:tc>
          <w:tcPr>
            <w:tcW w:w="1242" w:type="dxa"/>
            <w:vMerge w:val="restart"/>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outlineLvl w:val="9"/>
              <w:rPr>
                <w:rFonts w:hint="eastAsia" w:ascii="仿宋" w:hAnsi="仿宋" w:eastAsia="仿宋" w:cs="仿宋"/>
                <w:b/>
                <w:bCs/>
                <w:color w:val="auto"/>
                <w:highlight w:val="none"/>
              </w:rPr>
            </w:pPr>
          </w:p>
          <w:p>
            <w:pPr>
              <w:pStyle w:val="39"/>
              <w:kinsoku w:val="0"/>
              <w:overflowPunct w:val="0"/>
              <w:outlineLvl w:val="9"/>
              <w:rPr>
                <w:rFonts w:hint="eastAsia" w:ascii="仿宋" w:hAnsi="仿宋" w:eastAsia="仿宋" w:cs="仿宋"/>
                <w:b/>
                <w:bCs/>
                <w:color w:val="auto"/>
                <w:highlight w:val="none"/>
              </w:rPr>
            </w:pPr>
          </w:p>
          <w:p>
            <w:pPr>
              <w:pStyle w:val="39"/>
              <w:kinsoku w:val="0"/>
              <w:overflowPunct w:val="0"/>
              <w:outlineLvl w:val="9"/>
              <w:rPr>
                <w:rFonts w:hint="eastAsia" w:ascii="仿宋" w:hAnsi="仿宋" w:eastAsia="仿宋" w:cs="仿宋"/>
                <w:b/>
                <w:bCs/>
                <w:color w:val="auto"/>
                <w:highlight w:val="none"/>
              </w:rPr>
            </w:pPr>
          </w:p>
          <w:p>
            <w:pPr>
              <w:pStyle w:val="39"/>
              <w:kinsoku w:val="0"/>
              <w:overflowPunct w:val="0"/>
              <w:spacing w:line="475" w:lineRule="auto"/>
              <w:ind w:left="497" w:right="493"/>
              <w:jc w:val="both"/>
              <w:outlineLvl w:val="9"/>
              <w:rPr>
                <w:rFonts w:hint="eastAsia" w:ascii="仿宋" w:hAnsi="仿宋" w:eastAsia="仿宋" w:cs="仿宋"/>
                <w:color w:val="auto"/>
                <w:highlight w:val="none"/>
              </w:rPr>
            </w:pPr>
            <w:r>
              <w:rPr>
                <w:rFonts w:hint="eastAsia" w:ascii="仿宋" w:hAnsi="仿宋" w:eastAsia="仿宋" w:cs="仿宋"/>
                <w:color w:val="auto"/>
                <w:highlight w:val="none"/>
              </w:rPr>
              <w:t>职 工 概 况</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4"/>
              <w:ind w:left="236"/>
              <w:outlineLvl w:val="9"/>
              <w:rPr>
                <w:rFonts w:hint="eastAsia" w:ascii="仿宋" w:hAnsi="仿宋" w:eastAsia="仿宋" w:cs="仿宋"/>
                <w:color w:val="auto"/>
                <w:highlight w:val="none"/>
              </w:rPr>
            </w:pPr>
            <w:r>
              <w:rPr>
                <w:rFonts w:hint="eastAsia" w:ascii="仿宋" w:hAnsi="仿宋" w:eastAsia="仿宋" w:cs="仿宋"/>
                <w:color w:val="auto"/>
                <w:highlight w:val="none"/>
              </w:rPr>
              <w:t>职工总数</w:t>
            </w: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168" w:type="dxa"/>
            <w:gridSpan w:val="4"/>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4"/>
              <w:ind w:left="118"/>
              <w:outlineLvl w:val="9"/>
              <w:rPr>
                <w:rFonts w:hint="eastAsia" w:ascii="仿宋" w:hAnsi="仿宋" w:eastAsia="仿宋" w:cs="仿宋"/>
                <w:color w:val="auto"/>
                <w:highlight w:val="none"/>
              </w:rPr>
            </w:pPr>
            <w:r>
              <w:rPr>
                <w:rFonts w:hint="eastAsia" w:ascii="仿宋" w:hAnsi="仿宋" w:eastAsia="仿宋" w:cs="仿宋"/>
                <w:color w:val="auto"/>
                <w:highlight w:val="none"/>
              </w:rPr>
              <w:t>其中：技术人员数</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单位行政和技术负责人</w:t>
            </w:r>
          </w:p>
        </w:tc>
      </w:tr>
      <w:tr>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jc w:val="cente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16"/>
              <w:outlineLvl w:val="9"/>
              <w:rPr>
                <w:rFonts w:hint="eastAsia" w:ascii="仿宋" w:hAnsi="仿宋" w:eastAsia="仿宋" w:cs="仿宋"/>
                <w:color w:val="auto"/>
                <w:highlight w:val="none"/>
              </w:rPr>
            </w:pPr>
            <w:r>
              <w:rPr>
                <w:rFonts w:hint="eastAsia" w:ascii="仿宋" w:hAnsi="仿宋" w:eastAsia="仿宋" w:cs="仿宋"/>
                <w:color w:val="auto"/>
                <w:highlight w:val="none"/>
              </w:rPr>
              <w:t>姓 名</w:t>
            </w: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52"/>
              <w:outlineLvl w:val="9"/>
              <w:rPr>
                <w:rFonts w:hint="eastAsia" w:ascii="仿宋" w:hAnsi="仿宋" w:eastAsia="仿宋" w:cs="仿宋"/>
                <w:color w:val="auto"/>
                <w:highlight w:val="none"/>
              </w:rPr>
            </w:pPr>
            <w:r>
              <w:rPr>
                <w:rFonts w:hint="eastAsia" w:ascii="仿宋" w:hAnsi="仿宋" w:eastAsia="仿宋" w:cs="仿宋"/>
                <w:color w:val="auto"/>
                <w:highlight w:val="none"/>
              </w:rPr>
              <w:t>职务/职称</w:t>
            </w: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50"/>
              <w:outlineLvl w:val="9"/>
              <w:rPr>
                <w:rFonts w:hint="eastAsia" w:ascii="仿宋" w:hAnsi="仿宋" w:eastAsia="仿宋" w:cs="仿宋"/>
                <w:color w:val="auto"/>
                <w:highlight w:val="none"/>
              </w:rPr>
            </w:pPr>
            <w:r>
              <w:rPr>
                <w:rFonts w:hint="eastAsia" w:ascii="仿宋" w:hAnsi="仿宋" w:eastAsia="仿宋" w:cs="仿宋"/>
                <w:color w:val="auto"/>
                <w:highlight w:val="none"/>
              </w:rPr>
              <w:t>年 龄</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pStyle w:val="39"/>
              <w:tabs>
                <w:tab w:val="left" w:pos="479"/>
              </w:tabs>
              <w:kinsoku w:val="0"/>
              <w:overflowPunct w:val="0"/>
              <w:spacing w:before="145"/>
              <w:ind w:right="1"/>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专</w:t>
            </w:r>
            <w:r>
              <w:rPr>
                <w:rFonts w:hint="eastAsia" w:ascii="仿宋" w:hAnsi="仿宋" w:eastAsia="仿宋" w:cs="仿宋"/>
                <w:color w:val="auto"/>
                <w:highlight w:val="none"/>
              </w:rPr>
              <w:tab/>
            </w:r>
            <w:r>
              <w:rPr>
                <w:rFonts w:hint="eastAsia" w:ascii="仿宋" w:hAnsi="仿宋" w:eastAsia="仿宋" w:cs="仿宋"/>
                <w:color w:val="auto"/>
                <w:highlight w:val="none"/>
              </w:rPr>
              <w:t>业</w:t>
            </w:r>
          </w:p>
        </w:tc>
      </w:tr>
      <w:tr>
        <w:trPr>
          <w:trHeight w:val="425"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9"/>
              <w:tabs>
                <w:tab w:val="left" w:pos="479"/>
              </w:tabs>
              <w:kinsoku w:val="0"/>
              <w:overflowPunct w:val="0"/>
              <w:spacing w:before="145"/>
              <w:ind w:right="1"/>
              <w:jc w:val="cente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37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439"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162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
              <w:outlineLvl w:val="9"/>
              <w:rPr>
                <w:rFonts w:hint="eastAsia" w:ascii="仿宋" w:hAnsi="仿宋" w:eastAsia="仿宋" w:cs="仿宋"/>
                <w:b/>
                <w:bCs/>
                <w:color w:val="auto"/>
                <w:sz w:val="23"/>
                <w:szCs w:val="23"/>
                <w:highlight w:val="none"/>
              </w:rPr>
            </w:pPr>
          </w:p>
          <w:p>
            <w:pPr>
              <w:pStyle w:val="39"/>
              <w:kinsoku w:val="0"/>
              <w:overflowPunct w:val="0"/>
              <w:spacing w:line="237" w:lineRule="auto"/>
              <w:ind w:left="497" w:right="493"/>
              <w:jc w:val="both"/>
              <w:outlineLvl w:val="9"/>
              <w:rPr>
                <w:rFonts w:hint="eastAsia" w:ascii="仿宋" w:hAnsi="仿宋" w:eastAsia="仿宋" w:cs="仿宋"/>
                <w:color w:val="auto"/>
                <w:highlight w:val="none"/>
              </w:rPr>
            </w:pPr>
            <w:r>
              <w:rPr>
                <w:rFonts w:hint="eastAsia" w:ascii="仿宋" w:hAnsi="仿宋" w:eastAsia="仿宋" w:cs="仿宋"/>
                <w:color w:val="auto"/>
                <w:highlight w:val="none"/>
              </w:rPr>
              <w:t>单 位 概 况</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bl>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b/>
          <w:color w:val="auto"/>
          <w:sz w:val="30"/>
          <w:szCs w:val="30"/>
          <w:highlight w:val="none"/>
        </w:rPr>
      </w:pPr>
    </w:p>
    <w:p>
      <w:pPr>
        <w:pStyle w:val="2"/>
        <w:numPr>
          <w:ilvl w:val="0"/>
          <w:numId w:val="0"/>
        </w:numPr>
        <w:kinsoku w:val="0"/>
        <w:overflowPunct w:val="0"/>
        <w:spacing w:before="34" w:line="357" w:lineRule="auto"/>
        <w:ind w:left="480" w:leftChars="0" w:right="126" w:rightChars="0"/>
        <w:jc w:val="center"/>
        <w:outlineLvl w:val="9"/>
        <w:rPr>
          <w:rFonts w:hint="eastAsia" w:ascii="仿宋" w:hAnsi="仿宋" w:eastAsia="仿宋" w:cs="仿宋"/>
          <w:b/>
          <w:bCs/>
          <w:color w:val="auto"/>
          <w:w w:val="90"/>
          <w:highlight w:val="none"/>
          <w:lang w:eastAsia="zh-CN"/>
        </w:rPr>
      </w:pPr>
      <w:r>
        <w:rPr>
          <w:rFonts w:hint="eastAsia" w:ascii="仿宋" w:hAnsi="仿宋" w:eastAsia="仿宋" w:cs="仿宋"/>
          <w:b w:val="0"/>
          <w:bCs/>
          <w:color w:val="auto"/>
          <w:kern w:val="0"/>
          <w:sz w:val="36"/>
          <w:szCs w:val="36"/>
          <w:highlight w:val="none"/>
          <w:lang w:val="en-US" w:eastAsia="zh-CN"/>
        </w:rPr>
        <w:t>8、</w:t>
      </w:r>
      <w:r>
        <w:rPr>
          <w:rFonts w:hint="eastAsia" w:ascii="仿宋" w:hAnsi="仿宋" w:eastAsia="仿宋" w:cs="仿宋"/>
          <w:b/>
          <w:bCs/>
          <w:color w:val="auto"/>
          <w:w w:val="90"/>
          <w:sz w:val="36"/>
          <w:szCs w:val="36"/>
          <w:highlight w:val="none"/>
        </w:rPr>
        <w:t>近三年（20</w:t>
      </w:r>
      <w:r>
        <w:rPr>
          <w:rFonts w:hint="eastAsia" w:ascii="仿宋" w:hAnsi="仿宋" w:eastAsia="仿宋" w:cs="仿宋"/>
          <w:b/>
          <w:bCs/>
          <w:color w:val="auto"/>
          <w:w w:val="90"/>
          <w:sz w:val="36"/>
          <w:szCs w:val="36"/>
          <w:highlight w:val="none"/>
          <w:lang w:val="en-US" w:eastAsia="zh-CN"/>
        </w:rPr>
        <w:t>19</w:t>
      </w:r>
      <w:r>
        <w:rPr>
          <w:rFonts w:hint="eastAsia" w:ascii="仿宋" w:hAnsi="仿宋" w:eastAsia="仿宋" w:cs="仿宋"/>
          <w:b/>
          <w:bCs/>
          <w:color w:val="auto"/>
          <w:w w:val="90"/>
          <w:sz w:val="36"/>
          <w:szCs w:val="36"/>
          <w:highlight w:val="none"/>
        </w:rPr>
        <w:t>年1月1日至今）类似项目业绩</w:t>
      </w:r>
      <w:r>
        <w:rPr>
          <w:rFonts w:hint="eastAsia" w:ascii="仿宋" w:hAnsi="仿宋" w:eastAsia="仿宋" w:cs="仿宋"/>
          <w:b/>
          <w:bCs/>
          <w:color w:val="auto"/>
          <w:w w:val="90"/>
          <w:sz w:val="36"/>
          <w:szCs w:val="36"/>
          <w:highlight w:val="none"/>
          <w:lang w:eastAsia="zh-CN"/>
        </w:rPr>
        <w:t>表</w:t>
      </w:r>
    </w:p>
    <w:p>
      <w:pPr>
        <w:pStyle w:val="2"/>
        <w:numPr>
          <w:ilvl w:val="0"/>
          <w:numId w:val="0"/>
        </w:numPr>
        <w:kinsoku w:val="0"/>
        <w:overflowPunct w:val="0"/>
        <w:ind w:leftChars="0" w:right="0" w:rightChars="0"/>
        <w:outlineLvl w:val="9"/>
        <w:rPr>
          <w:rFonts w:hint="eastAsia" w:ascii="仿宋" w:hAnsi="仿宋" w:eastAsia="仿宋" w:cs="仿宋"/>
          <w:b/>
          <w:bCs/>
          <w:color w:val="auto"/>
          <w:sz w:val="20"/>
          <w:szCs w:val="20"/>
          <w:highlight w:val="none"/>
        </w:rPr>
      </w:pPr>
    </w:p>
    <w:tbl>
      <w:tblPr>
        <w:tblStyle w:val="23"/>
        <w:tblW w:w="9115" w:type="dxa"/>
        <w:jc w:val="center"/>
        <w:shd w:val="clear" w:color="auto" w:fill="auto"/>
        <w:tblLayout w:type="fixed"/>
        <w:tblCellMar>
          <w:top w:w="0" w:type="dxa"/>
          <w:left w:w="10" w:type="dxa"/>
          <w:bottom w:w="0" w:type="dxa"/>
          <w:right w:w="10" w:type="dxa"/>
        </w:tblCellMar>
      </w:tblPr>
      <w:tblGrid>
        <w:gridCol w:w="1919"/>
        <w:gridCol w:w="7196"/>
      </w:tblGrid>
      <w:tr>
        <w:tblPrEx>
          <w:shd w:val="clear" w:color="auto" w:fill="auto"/>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项目名称</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shd w:val="clear" w:color="auto" w:fill="auto"/>
          <w:tblCellMar>
            <w:top w:w="0" w:type="dxa"/>
            <w:left w:w="10" w:type="dxa"/>
            <w:bottom w:w="0" w:type="dxa"/>
            <w:right w:w="10" w:type="dxa"/>
          </w:tblCellMar>
        </w:tblPrEx>
        <w:trPr>
          <w:trHeight w:val="518"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12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项目单位名称</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shd w:val="clear" w:color="auto" w:fill="auto"/>
          <w:tblCellMar>
            <w:top w:w="0" w:type="dxa"/>
            <w:left w:w="10" w:type="dxa"/>
            <w:bottom w:w="0" w:type="dxa"/>
            <w:right w:w="10" w:type="dxa"/>
          </w:tblCellMar>
        </w:tblPrEx>
        <w:trPr>
          <w:trHeight w:val="724"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320" w:lineRule="exact"/>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项目单位联系姓名及联系方式</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合同金额</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306" w:lineRule="exact"/>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项目负责人姓名</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12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项目实施时间</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项目内容说明</w:t>
            </w:r>
          </w:p>
        </w:tc>
        <w:tc>
          <w:tcPr>
            <w:tcW w:w="7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bl>
    <w:p>
      <w:pPr>
        <w:outlineLvl w:val="9"/>
        <w:rPr>
          <w:rFonts w:hint="eastAsia" w:ascii="仿宋" w:hAnsi="仿宋" w:eastAsia="仿宋" w:cs="仿宋"/>
          <w:color w:val="auto"/>
          <w:spacing w:val="-1"/>
          <w:kern w:val="0"/>
          <w:sz w:val="24"/>
          <w:highlight w:val="none"/>
        </w:rPr>
      </w:pPr>
    </w:p>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注：每个</w:t>
      </w:r>
      <w:r>
        <w:rPr>
          <w:rFonts w:hint="eastAsia" w:ascii="仿宋" w:hAnsi="仿宋" w:eastAsia="仿宋" w:cs="仿宋"/>
          <w:color w:val="auto"/>
          <w:spacing w:val="-1"/>
          <w:kern w:val="0"/>
          <w:sz w:val="24"/>
          <w:highlight w:val="none"/>
          <w:lang w:eastAsia="zh-CN"/>
        </w:rPr>
        <w:t>业绩</w:t>
      </w:r>
      <w:r>
        <w:rPr>
          <w:rFonts w:hint="eastAsia" w:ascii="仿宋" w:hAnsi="仿宋" w:eastAsia="仿宋" w:cs="仿宋"/>
          <w:color w:val="auto"/>
          <w:spacing w:val="-1"/>
          <w:kern w:val="0"/>
          <w:sz w:val="24"/>
          <w:highlight w:val="none"/>
        </w:rPr>
        <w:t>须单独附表，并附上</w:t>
      </w:r>
      <w:r>
        <w:rPr>
          <w:rFonts w:hint="eastAsia" w:ascii="仿宋" w:hAnsi="仿宋" w:eastAsia="仿宋" w:cs="仿宋"/>
          <w:color w:val="auto"/>
          <w:spacing w:val="-1"/>
          <w:kern w:val="0"/>
          <w:sz w:val="24"/>
          <w:highlight w:val="none"/>
          <w:lang w:eastAsia="zh-CN"/>
        </w:rPr>
        <w:t>合同和中标通知书</w:t>
      </w:r>
      <w:r>
        <w:rPr>
          <w:rFonts w:hint="eastAsia" w:ascii="仿宋" w:hAnsi="仿宋" w:eastAsia="仿宋" w:cs="仿宋"/>
          <w:color w:val="auto"/>
          <w:spacing w:val="-1"/>
          <w:kern w:val="0"/>
          <w:sz w:val="24"/>
          <w:highlight w:val="none"/>
        </w:rPr>
        <w:t>相关证明材料，否则专家在评审时将不予采信。</w:t>
      </w: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2"/>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2"/>
        <w:numPr>
          <w:ilvl w:val="0"/>
          <w:numId w:val="0"/>
        </w:numPr>
        <w:tabs>
          <w:tab w:val="left" w:pos="5551"/>
          <w:tab w:val="left" w:pos="6511"/>
          <w:tab w:val="left" w:pos="7111"/>
          <w:tab w:val="left" w:pos="7711"/>
        </w:tabs>
        <w:kinsoku w:val="0"/>
        <w:overflowPunct w:val="0"/>
        <w:spacing w:before="46"/>
        <w:ind w:right="0" w:rightChars="0" w:firstLine="4410" w:firstLineChars="18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5"/>
        <w:keepNext w:val="0"/>
        <w:keepLines w:val="0"/>
        <w:widowControl w:val="0"/>
        <w:shd w:val="clear" w:color="auto" w:fill="auto"/>
        <w:bidi w:val="0"/>
        <w:spacing w:before="0" w:after="580" w:line="240" w:lineRule="auto"/>
        <w:ind w:left="0" w:right="0" w:firstLine="360"/>
        <w:jc w:val="left"/>
        <w:outlineLvl w:val="9"/>
        <w:rPr>
          <w:rFonts w:hint="eastAsia" w:ascii="仿宋" w:hAnsi="仿宋" w:eastAsia="仿宋" w:cs="仿宋"/>
          <w:color w:val="auto"/>
          <w:spacing w:val="0"/>
          <w:w w:val="100"/>
          <w:position w:val="0"/>
          <w:highlight w:val="none"/>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bCs w:val="0"/>
          <w:color w:val="auto"/>
          <w:kern w:val="0"/>
          <w:sz w:val="36"/>
          <w:szCs w:val="36"/>
          <w:highlight w:val="none"/>
        </w:rPr>
      </w:pPr>
      <w:r>
        <w:rPr>
          <w:rFonts w:hint="eastAsia" w:ascii="仿宋" w:hAnsi="仿宋" w:eastAsia="仿宋" w:cs="仿宋"/>
          <w:b/>
          <w:bCs w:val="0"/>
          <w:color w:val="auto"/>
          <w:kern w:val="0"/>
          <w:sz w:val="36"/>
          <w:szCs w:val="36"/>
          <w:highlight w:val="none"/>
          <w:lang w:val="en-US" w:eastAsia="zh-CN"/>
        </w:rPr>
        <w:t>9</w:t>
      </w:r>
      <w:r>
        <w:rPr>
          <w:rFonts w:hint="eastAsia" w:ascii="仿宋" w:hAnsi="仿宋" w:eastAsia="仿宋" w:cs="仿宋"/>
          <w:b/>
          <w:bCs w:val="0"/>
          <w:color w:val="auto"/>
          <w:kern w:val="0"/>
          <w:sz w:val="36"/>
          <w:szCs w:val="36"/>
          <w:highlight w:val="none"/>
        </w:rPr>
        <w:t>、中小企业声明函(</w:t>
      </w:r>
      <w:r>
        <w:rPr>
          <w:rFonts w:hint="eastAsia" w:ascii="仿宋" w:hAnsi="仿宋" w:eastAsia="仿宋" w:cs="仿宋"/>
          <w:b/>
          <w:bCs w:val="0"/>
          <w:color w:val="auto"/>
          <w:kern w:val="0"/>
          <w:sz w:val="36"/>
          <w:szCs w:val="36"/>
          <w:highlight w:val="none"/>
          <w:lang w:eastAsia="zh-CN"/>
        </w:rPr>
        <w:t>货物</w:t>
      </w:r>
      <w:r>
        <w:rPr>
          <w:rFonts w:hint="eastAsia" w:ascii="仿宋" w:hAnsi="仿宋" w:eastAsia="仿宋" w:cs="仿宋"/>
          <w:b/>
          <w:bCs w:val="0"/>
          <w:color w:val="auto"/>
          <w:kern w:val="0"/>
          <w:sz w:val="36"/>
          <w:szCs w:val="36"/>
          <w:highlight w:val="none"/>
        </w:rPr>
        <w:t>)</w:t>
      </w:r>
    </w:p>
    <w:p>
      <w:pPr>
        <w:ind w:left="1280"/>
        <w:outlineLvl w:val="9"/>
        <w:rPr>
          <w:rFonts w:hint="eastAsia" w:ascii="仿宋" w:hAnsi="仿宋" w:eastAsia="仿宋" w:cs="仿宋"/>
          <w:color w:val="auto"/>
          <w:sz w:val="32"/>
          <w:szCs w:val="32"/>
          <w:highlight w:val="none"/>
        </w:rPr>
      </w:pP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 （标的名称），属于（采购文件中明确的所属行业）；制造商为（企业名称），从业人员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以上企业，不属于大企业的分支机构，不存在控股股东为大企业的情形，也不存在与大企业的负责人为同一人的情形。</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本企业对上述声明内容的真实性负责。如有虚假，将依法承担相应责任。</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p>
    <w:p>
      <w:pPr>
        <w:shd w:val="clear" w:color="auto" w:fill="auto"/>
        <w:spacing w:line="360" w:lineRule="auto"/>
        <w:ind w:firstLine="4655" w:firstLineChars="19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企业名称（盖章）：</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 日期：</w:t>
      </w: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pStyle w:val="17"/>
        <w:outlineLvl w:val="9"/>
        <w:rPr>
          <w:rFonts w:hint="eastAsia" w:ascii="仿宋" w:hAnsi="仿宋" w:eastAsia="仿宋" w:cs="仿宋"/>
          <w:color w:val="auto"/>
          <w:highlight w:val="none"/>
        </w:rPr>
      </w:pPr>
    </w:p>
    <w:p>
      <w:pPr>
        <w:tabs>
          <w:tab w:val="left" w:pos="3600"/>
        </w:tabs>
        <w:adjustRightInd w:val="0"/>
        <w:snapToGrid w:val="0"/>
        <w:spacing w:line="440" w:lineRule="exact"/>
        <w:jc w:val="center"/>
        <w:outlineLvl w:val="9"/>
        <w:rPr>
          <w:rFonts w:hint="eastAsia" w:ascii="仿宋" w:hAnsi="仿宋" w:eastAsia="仿宋" w:cs="仿宋"/>
          <w:color w:val="auto"/>
          <w:spacing w:val="0"/>
          <w:w w:val="100"/>
          <w:position w:val="0"/>
          <w:sz w:val="36"/>
          <w:szCs w:val="36"/>
          <w:highlight w:val="none"/>
          <w:lang w:val="en-US" w:eastAsia="zh-CN"/>
        </w:rPr>
      </w:pPr>
    </w:p>
    <w:p>
      <w:pPr>
        <w:tabs>
          <w:tab w:val="left" w:pos="3600"/>
        </w:tabs>
        <w:adjustRightInd w:val="0"/>
        <w:snapToGrid w:val="0"/>
        <w:spacing w:line="440" w:lineRule="exact"/>
        <w:jc w:val="center"/>
        <w:outlineLvl w:val="9"/>
        <w:rPr>
          <w:rFonts w:hint="eastAsia" w:ascii="仿宋" w:hAnsi="仿宋" w:eastAsia="仿宋" w:cs="仿宋"/>
          <w:b/>
          <w:bCs/>
          <w:color w:val="auto"/>
          <w:spacing w:val="6"/>
          <w:kern w:val="0"/>
          <w:sz w:val="36"/>
          <w:szCs w:val="36"/>
          <w:highlight w:val="none"/>
        </w:rPr>
      </w:pPr>
      <w:r>
        <w:rPr>
          <w:rFonts w:hint="eastAsia" w:ascii="仿宋" w:hAnsi="仿宋" w:eastAsia="仿宋" w:cs="仿宋"/>
          <w:color w:val="auto"/>
          <w:spacing w:val="0"/>
          <w:w w:val="100"/>
          <w:position w:val="0"/>
          <w:sz w:val="36"/>
          <w:szCs w:val="36"/>
          <w:highlight w:val="none"/>
          <w:lang w:val="en-US" w:eastAsia="zh-CN"/>
        </w:rPr>
        <w:t>10</w:t>
      </w:r>
      <w:r>
        <w:rPr>
          <w:rFonts w:hint="eastAsia" w:ascii="仿宋" w:hAnsi="仿宋" w:eastAsia="仿宋" w:cs="仿宋"/>
          <w:color w:val="auto"/>
          <w:spacing w:val="0"/>
          <w:w w:val="100"/>
          <w:position w:val="0"/>
          <w:sz w:val="36"/>
          <w:szCs w:val="36"/>
          <w:highlight w:val="none"/>
          <w:lang w:eastAsia="zh-CN"/>
        </w:rPr>
        <w:t>、</w:t>
      </w:r>
      <w:r>
        <w:rPr>
          <w:rFonts w:hint="eastAsia" w:ascii="仿宋" w:hAnsi="仿宋" w:eastAsia="仿宋" w:cs="仿宋"/>
          <w:b/>
          <w:bCs/>
          <w:color w:val="auto"/>
          <w:spacing w:val="6"/>
          <w:kern w:val="0"/>
          <w:sz w:val="36"/>
          <w:szCs w:val="36"/>
          <w:highlight w:val="none"/>
        </w:rPr>
        <w:t>残疾人福利性单位声明函</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本单位对上述声明的真实性负责。如有虚假，将依法承担相应责任。</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 xml:space="preserve">                                     </w:t>
      </w:r>
    </w:p>
    <w:p>
      <w:pPr>
        <w:widowControl/>
        <w:adjustRightInd w:val="0"/>
        <w:snapToGrid w:val="0"/>
        <w:spacing w:line="440" w:lineRule="exact"/>
        <w:ind w:firstLine="5654" w:firstLineChars="2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单位名称（盖章）：</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 xml:space="preserve">                                      日  期：</w:t>
      </w: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br w:type="page"/>
      </w:r>
    </w:p>
    <w:p>
      <w:pPr>
        <w:pStyle w:val="2"/>
        <w:rPr>
          <w:rFonts w:hint="eastAsia"/>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11、评分标准和细则中技术部分证明材料（格式自拟</w:t>
      </w:r>
      <w:r>
        <w:rPr>
          <w:rFonts w:hint="eastAsia" w:ascii="仿宋" w:hAnsi="仿宋" w:eastAsia="仿宋" w:cs="仿宋"/>
          <w:color w:val="auto"/>
          <w:spacing w:val="0"/>
          <w:w w:val="100"/>
          <w:position w:val="0"/>
          <w:sz w:val="36"/>
          <w:szCs w:val="36"/>
          <w:highlight w:val="none"/>
          <w:lang w:val="en-US" w:eastAsia="zh-CN"/>
        </w:rPr>
        <w:t>）</w:t>
      </w:r>
    </w:p>
    <w:p>
      <w:pPr>
        <w:numPr>
          <w:ilvl w:val="1"/>
          <w:numId w:val="0"/>
        </w:numPr>
        <w:shd w:val="clear" w:color="auto" w:fill="auto"/>
        <w:tabs>
          <w:tab w:val="left" w:pos="540"/>
        </w:tabs>
        <w:spacing w:before="0" w:line="240" w:lineRule="atLeast"/>
        <w:ind w:leftChars="257"/>
        <w:jc w:val="center"/>
        <w:outlineLvl w:val="9"/>
        <w:rPr>
          <w:rFonts w:hint="eastAsia" w:ascii="仿宋" w:hAnsi="仿宋" w:eastAsia="仿宋" w:cs="仿宋"/>
          <w:color w:val="auto"/>
          <w:sz w:val="24"/>
          <w:highlight w:val="none"/>
          <w:lang w:val="en-US" w:eastAsia="zh-CN"/>
        </w:rPr>
      </w:pPr>
    </w:p>
    <w:p>
      <w:pPr>
        <w:pStyle w:val="12"/>
        <w:pageBreakBefore w:val="0"/>
        <w:widowControl w:val="0"/>
        <w:shd w:val="clear" w:color="auto" w:fill="auto"/>
        <w:tabs>
          <w:tab w:val="left" w:pos="5580"/>
        </w:tabs>
        <w:kinsoku/>
        <w:wordWrap/>
        <w:overflowPunct/>
        <w:topLinePunct w:val="0"/>
        <w:autoSpaceDE/>
        <w:autoSpaceDN/>
        <w:bidi w:val="0"/>
        <w:adjustRightInd/>
        <w:snapToGrid/>
        <w:spacing w:line="360" w:lineRule="auto"/>
        <w:ind w:left="1169" w:leftChars="257" w:hanging="54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评分标准和细则中技术部分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（主要包括：技术部分技术指标、参数响应情况；）</w:t>
      </w:r>
      <w:r>
        <w:rPr>
          <w:rFonts w:hint="eastAsia" w:ascii="仿宋" w:hAnsi="仿宋" w:eastAsia="仿宋" w:cs="仿宋"/>
          <w:color w:val="auto"/>
          <w:sz w:val="24"/>
          <w:highlight w:val="none"/>
        </w:rPr>
        <w:t>。</w:t>
      </w:r>
    </w:p>
    <w:p>
      <w:pPr>
        <w:pStyle w:val="12"/>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1470" w:firstLineChars="6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pageBreakBefore w:val="0"/>
        <w:widowControl w:val="0"/>
        <w:shd w:val="clear" w:color="auto" w:fill="auto"/>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outlineLvl w:val="9"/>
        <w:rPr>
          <w:rFonts w:hint="eastAsia" w:ascii="仿宋" w:hAnsi="仿宋" w:eastAsia="仿宋" w:cs="仿宋"/>
          <w:color w:val="auto"/>
          <w:highlight w:val="none"/>
          <w:lang w:val="en-US" w:eastAsia="zh-CN"/>
        </w:rPr>
      </w:pPr>
    </w:p>
    <w:p>
      <w:pPr>
        <w:numPr>
          <w:ilvl w:val="1"/>
          <w:numId w:val="0"/>
        </w:numPr>
        <w:shd w:val="clear" w:color="auto" w:fill="auto"/>
        <w:tabs>
          <w:tab w:val="left" w:pos="540"/>
        </w:tabs>
        <w:spacing w:before="0" w:line="240" w:lineRule="atLeast"/>
        <w:ind w:leftChars="257"/>
        <w:jc w:val="center"/>
        <w:outlineLvl w:val="9"/>
        <w:rPr>
          <w:rFonts w:hint="eastAsia" w:ascii="仿宋" w:hAnsi="仿宋" w:eastAsia="仿宋" w:cs="仿宋"/>
          <w:color w:val="auto"/>
          <w:sz w:val="24"/>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b/>
          <w:bCs/>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12、评分标准和细则中商务部分证明材料（格式自拟）</w:t>
      </w:r>
    </w:p>
    <w:p>
      <w:pPr>
        <w:pStyle w:val="12"/>
        <w:shd w:val="clear" w:color="auto" w:fill="auto"/>
        <w:tabs>
          <w:tab w:val="left" w:pos="5580"/>
        </w:tabs>
        <w:spacing w:line="240" w:lineRule="atLeast"/>
        <w:outlineLvl w:val="9"/>
        <w:rPr>
          <w:rFonts w:hint="eastAsia" w:ascii="仿宋" w:hAnsi="仿宋" w:eastAsia="仿宋" w:cs="仿宋"/>
          <w:color w:val="auto"/>
          <w:sz w:val="24"/>
          <w:highlight w:val="none"/>
        </w:rPr>
      </w:pPr>
    </w:p>
    <w:p>
      <w:pPr>
        <w:pStyle w:val="12"/>
        <w:keepNext w:val="0"/>
        <w:keepLines w:val="0"/>
        <w:pageBreakBefore w:val="0"/>
        <w:widowControl w:val="0"/>
        <w:shd w:val="clear" w:color="auto" w:fill="auto"/>
        <w:tabs>
          <w:tab w:val="left" w:pos="5580"/>
        </w:tabs>
        <w:kinsoku/>
        <w:wordWrap/>
        <w:overflowPunct/>
        <w:topLinePunct w:val="0"/>
        <w:autoSpaceDE/>
        <w:autoSpaceDN/>
        <w:bidi w:val="0"/>
        <w:spacing w:line="360" w:lineRule="auto"/>
        <w:ind w:left="1169" w:leftChars="257" w:hanging="54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评分标准和细则中商务部分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类似业绩</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售后服务</w:t>
      </w:r>
      <w:r>
        <w:rPr>
          <w:rFonts w:hint="eastAsia" w:ascii="仿宋" w:hAnsi="仿宋" w:eastAsia="仿宋" w:cs="仿宋"/>
          <w:color w:val="auto"/>
          <w:sz w:val="24"/>
          <w:highlight w:val="none"/>
          <w:lang w:eastAsia="zh-CN"/>
        </w:rPr>
        <w:t>等）</w:t>
      </w:r>
      <w:r>
        <w:rPr>
          <w:rFonts w:hint="eastAsia" w:ascii="仿宋" w:hAnsi="仿宋" w:eastAsia="仿宋" w:cs="仿宋"/>
          <w:color w:val="auto"/>
          <w:sz w:val="24"/>
          <w:highlight w:val="none"/>
        </w:rPr>
        <w:t>。</w:t>
      </w:r>
    </w:p>
    <w:p>
      <w:pPr>
        <w:pStyle w:val="12"/>
        <w:keepNext w:val="0"/>
        <w:keepLines w:val="0"/>
        <w:pageBreakBefore w:val="0"/>
        <w:widowControl w:val="0"/>
        <w:shd w:val="clear" w:color="auto" w:fill="auto"/>
        <w:tabs>
          <w:tab w:val="left" w:pos="5580"/>
        </w:tabs>
        <w:kinsoku/>
        <w:wordWrap/>
        <w:overflowPunct/>
        <w:topLinePunct w:val="0"/>
        <w:autoSpaceDE/>
        <w:autoSpaceDN/>
        <w:bidi w:val="0"/>
        <w:spacing w:line="360" w:lineRule="auto"/>
        <w:ind w:firstLine="1470" w:firstLineChars="6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keepNext w:val="0"/>
        <w:keepLines w:val="0"/>
        <w:pageBreakBefore w:val="0"/>
        <w:widowControl w:val="0"/>
        <w:numPr>
          <w:ilvl w:val="1"/>
          <w:numId w:val="0"/>
        </w:numPr>
        <w:shd w:val="clear" w:color="auto" w:fill="auto"/>
        <w:tabs>
          <w:tab w:val="left" w:pos="540"/>
        </w:tabs>
        <w:kinsoku/>
        <w:wordWrap/>
        <w:overflowPunct/>
        <w:topLinePunct w:val="0"/>
        <w:autoSpaceDE/>
        <w:autoSpaceDN/>
        <w:bidi w:val="0"/>
        <w:spacing w:before="0" w:line="360" w:lineRule="auto"/>
        <w:jc w:val="left"/>
        <w:textAlignment w:val="auto"/>
        <w:outlineLvl w:val="9"/>
        <w:rPr>
          <w:rFonts w:hint="eastAsia" w:ascii="仿宋" w:hAnsi="仿宋" w:eastAsia="仿宋" w:cs="仿宋"/>
          <w:b/>
          <w:bCs/>
          <w:color w:val="auto"/>
          <w:sz w:val="24"/>
          <w:highlight w:val="none"/>
          <w:lang w:val="en-US" w:eastAsia="zh-CN"/>
        </w:rPr>
      </w:pPr>
      <w:r>
        <w:rPr>
          <w:rFonts w:hint="eastAsia" w:ascii="仿宋" w:hAnsi="仿宋" w:eastAsia="仿宋" w:cs="仿宋"/>
          <w:color w:val="auto"/>
          <w:sz w:val="24"/>
          <w:highlight w:val="none"/>
        </w:rPr>
        <w:t xml:space="preserve">    </w:t>
      </w: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outlineLvl w:val="9"/>
        <w:rPr>
          <w:rFonts w:hint="eastAsia" w:ascii="仿宋" w:hAnsi="仿宋" w:eastAsia="仿宋" w:cs="仿宋"/>
          <w:color w:val="auto"/>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b/>
          <w:bCs/>
          <w:color w:val="auto"/>
          <w:spacing w:val="0"/>
          <w:w w:val="9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13、</w:t>
      </w:r>
      <w:r>
        <w:rPr>
          <w:rFonts w:hint="eastAsia" w:ascii="仿宋" w:hAnsi="仿宋" w:eastAsia="仿宋" w:cs="仿宋"/>
          <w:b/>
          <w:bCs/>
          <w:color w:val="auto"/>
          <w:spacing w:val="0"/>
          <w:w w:val="90"/>
          <w:position w:val="0"/>
          <w:sz w:val="36"/>
          <w:szCs w:val="36"/>
          <w:highlight w:val="none"/>
          <w:lang w:val="en-US" w:eastAsia="zh-CN"/>
        </w:rPr>
        <w:t>投标人认为有必要提供的其他证明材料（格式自拟）</w:t>
      </w:r>
    </w:p>
    <w:p>
      <w:pPr>
        <w:pStyle w:val="12"/>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p>
    <w:p>
      <w:pPr>
        <w:pStyle w:val="12"/>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说明：复印件上应加盖本单位章（自然人投标的无需盖章，需要签字）。</w:t>
      </w:r>
    </w:p>
    <w:p>
      <w:pPr>
        <w:pStyle w:val="13"/>
        <w:outlineLvl w:val="9"/>
        <w:rPr>
          <w:rFonts w:hint="eastAsia"/>
          <w:color w:val="auto"/>
          <w:highlight w:val="none"/>
        </w:rPr>
      </w:pPr>
    </w:p>
    <w:sectPr>
      <w:headerReference r:id="rId12" w:type="default"/>
      <w:footerReference r:id="rId13" w:type="default"/>
      <w:pgSz w:w="11905" w:h="16838"/>
      <w:pgMar w:top="1440" w:right="1417" w:bottom="1440" w:left="1417" w:header="850" w:footer="992" w:gutter="0"/>
      <w:pgNumType w:fmt="decimal"/>
      <w:cols w:space="0" w:num="1"/>
      <w:rtlGutter w:val="0"/>
      <w:docGrid w:type="linesAndChars" w:linePitch="335" w:charSpace="105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both"/>
      <w:rPr>
        <w:rFonts w:hint="eastAsia" w:ascii="仿宋" w:hAnsi="仿宋" w:eastAsia="仿宋" w:cs="仿宋"/>
        <w:sz w:val="40"/>
        <w:szCs w:val="56"/>
      </w:rPr>
    </w:pPr>
    <w:r>
      <w:rPr>
        <w:rFonts w:hint="eastAsia" w:ascii="仿宋" w:hAnsi="仿宋" w:eastAsia="仿宋" w:cs="仿宋"/>
        <w:sz w:val="24"/>
        <w:szCs w:val="4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KDQKc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8J&#10;+lCgPkCNeXcBM9Pw3g+4NrMf0Jl5Dyra/EVGBOOIdbrIK4dERH60Wq5WFYYExuYL4rOn5yFC+iC9&#10;JdloaMT5FVn58ROkMXVOydWcv9XGlBka95cDMbOH5d7HHrOVht0wEdr59oR8ehx9Qx1uOiXmo0Nl&#10;sb80G3E2drNxCFHvu7JGuR6Ed4eETZTecoURdiqMMyvspv3KS/HnvWQ9/VO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NApyQEAAJsDAAAOAAAAAAAAAAEAIAAAAB4BAABkcnMvZTJvRG9j&#10;LnhtbFBLBQYAAAAABgAGAFkBAABZBQ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both"/>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4"/>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both"/>
      <w:rPr>
        <w:rFonts w:hint="eastAsia"/>
      </w:rP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sz w:val="16"/>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0AeM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ctrShy3OPHzzx/nX3/Ov78T&#10;9KFAfYAa8x4CZqbhgx9wbWY/oDPzHlS0+YuMCMZR3tNFXjkkIvKj1XK1qjAkMDZfEJ89Pg8R0kfp&#10;LclGQyPOr8jKj3eQxtQ5JVdz/lYbU2Zo3H8OxMwelnsfe8xWGnbDRGjn2xPy6XH0DXW46ZSYTw6V&#10;zVsyG3E2drNxCFHvu7JGuR6E94eETZTecoURdiqMMyvspv3KS/HvvWQ9/lO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DQB4yQEAAJsDAAAOAAAAAAAAAAEAIAAAAB4BAABkcnMvZTJvRG9j&#10;LnhtbFBLBQYAAAAABgAGAFkBAABZBQAAAAA=&#10;">
              <v:fill on="f" focussize="0,0"/>
              <v:stroke on="f"/>
              <v:imagedata o:title=""/>
              <o:lock v:ext="edit" aspectratio="f"/>
              <v:textbox inset="0mm,0mm,0mm,0mm" style="mso-fit-shape-to-text:t;">
                <w:txbxContent>
                  <w:p>
                    <w:pPr>
                      <w:pStyle w:val="14"/>
                    </w:pPr>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both"/>
      <w:rPr>
        <w:rFonts w:hint="eastAsia"/>
      </w:rPr>
    </w:pPr>
    <w:r>
      <w:rPr>
        <w:sz w:val="13"/>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sz w:val="13"/>
        <w:szCs w:val="13"/>
      </w:rPr>
      <w:t xml:space="preserve"> </w:t>
    </w:r>
    <w:r>
      <w:rPr>
        <w:rFonts w:hint="eastAsia"/>
      </w:rPr>
      <w:t xml:space="preserve">  </w:t>
    </w:r>
  </w:p>
  <w:p>
    <w:pPr>
      <w:pStyle w:val="14"/>
      <w:tabs>
        <w:tab w:val="center" w:pos="4320"/>
        <w:tab w:val="right" w:pos="8640"/>
        <w:tab w:val="clear" w:pos="4153"/>
        <w:tab w:val="clear" w:pos="8306"/>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both"/>
      <w:rPr>
        <w:rFonts w:hint="eastAsia"/>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MMV+MkBAACb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OslJY5bnPjl+7fLj1+Xn18J&#10;+lCgPkCNeQ8BM9Nw5wdcm9kP6My8BxVt/iIjgnGU93yVVw6JiPxovVqvKwwJjM0XxGePz0OE9FZ6&#10;S7LR0IjzK7Ly03tIY+qckqs5f6+NKTM07i8HYmYPy72PPWYrDfthIrT37Rn59Dj6hjrcdErMO4fK&#10;5i2ZjTgb+9k4hqgPXVmjXA/C7TFhE6W3XGGEnQrjzAq7ab/yUvx5L1m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xX4yQEAAJsDAAAOAAAAAAAAAAEAIAAAAB4BAABkcnMvZTJvRG9j&#10;LnhtbFBLBQYAAAAABgAGAFkBAABZBQ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13</w:t>
                    </w:r>
                    <w:r>
                      <w:fldChar w:fldCharType="end"/>
                    </w:r>
                  </w:p>
                </w:txbxContent>
              </v:textbox>
            </v:shape>
          </w:pict>
        </mc:Fallback>
      </mc:AlternateContent>
    </w:r>
    <w:r>
      <w:rPr>
        <w:rFonts w:hint="eastAsia" w:ascii="宋体" w:hAnsi="宋体" w:eastAsia="宋体" w:cs="宋体"/>
        <w:b w:val="0"/>
        <w:bCs w:val="0"/>
        <w:color w:val="auto"/>
        <w:sz w:val="24"/>
        <w:szCs w:val="24"/>
        <w:u w:val="none"/>
        <w:lang w:val="en-US" w:eastAsia="zh-CN"/>
      </w:rPr>
      <w:t xml:space="preserve">  </w:t>
    </w:r>
    <w:r>
      <w:rPr>
        <w:rFonts w:hint="eastAsia"/>
        <w:sz w:val="13"/>
        <w:szCs w:val="13"/>
      </w:rPr>
      <w:t xml:space="preserve"> </w:t>
    </w:r>
    <w:r>
      <w:rPr>
        <w:rFonts w:hint="eastAsia"/>
      </w:rPr>
      <w:t xml:space="preserve"> </w:t>
    </w:r>
    <w:r>
      <w:rPr>
        <w:rFonts w:hint="eastAsia"/>
        <w:color w:val="800000"/>
        <w:sz w:val="16"/>
        <w:szCs w:val="20"/>
        <w:lang w:val="en-US" w:eastAsia="zh-CN"/>
      </w:rPr>
      <w:t xml:space="preserve">      </w:t>
    </w:r>
  </w:p>
  <w:p>
    <w:pPr>
      <w:pStyle w:val="14"/>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4"/>
      <w:ind w:right="360"/>
      <w:jc w:val="right"/>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tabs>
        <w:tab w:val="clear" w:pos="4153"/>
        <w:tab w:val="clear" w:pos="8306"/>
      </w:tabs>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rPr>
        <w:rFonts w:hint="eastAsia" w:ascii="宋体" w:hAnsi="宋体" w:eastAsia="宋体" w:cs="宋体"/>
        <w:sz w:val="20"/>
        <w:szCs w:val="20"/>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rPr>
        <w:rFonts w:hint="eastAsia" w:ascii="宋体" w:hAnsi="宋体" w:eastAsia="宋体" w:cs="宋体"/>
        <w:sz w:val="20"/>
        <w:szCs w:val="2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F8AEFD"/>
    <w:multiLevelType w:val="singleLevel"/>
    <w:tmpl w:val="CBF8AEFD"/>
    <w:lvl w:ilvl="0" w:tentative="0">
      <w:start w:val="1"/>
      <w:numFmt w:val="decimal"/>
      <w:suff w:val="nothing"/>
      <w:lvlText w:val="%1、"/>
      <w:lvlJc w:val="left"/>
    </w:lvl>
  </w:abstractNum>
  <w:abstractNum w:abstractNumId="1">
    <w:nsid w:val="FAF293B7"/>
    <w:multiLevelType w:val="singleLevel"/>
    <w:tmpl w:val="FAF293B7"/>
    <w:lvl w:ilvl="0" w:tentative="0">
      <w:start w:val="1"/>
      <w:numFmt w:val="decimal"/>
      <w:suff w:val="nothing"/>
      <w:lvlText w:val="%1、"/>
      <w:lvlJc w:val="left"/>
    </w:lvl>
  </w:abstractNum>
  <w:abstractNum w:abstractNumId="2">
    <w:nsid w:val="FB2EA784"/>
    <w:multiLevelType w:val="singleLevel"/>
    <w:tmpl w:val="FB2EA784"/>
    <w:lvl w:ilvl="0" w:tentative="0">
      <w:start w:val="4"/>
      <w:numFmt w:val="chineseCounting"/>
      <w:suff w:val="space"/>
      <w:lvlText w:val="第%1部分"/>
      <w:lvlJc w:val="left"/>
      <w:rPr>
        <w:rFonts w:hint="eastAsia"/>
      </w:rPr>
    </w:lvl>
  </w:abstractNum>
  <w:abstractNum w:abstractNumId="3">
    <w:nsid w:val="0000000D"/>
    <w:multiLevelType w:val="multilevel"/>
    <w:tmpl w:val="0000000D"/>
    <w:lvl w:ilvl="0" w:tentative="0">
      <w:start w:val="1"/>
      <w:numFmt w:val="decimal"/>
      <w:pStyle w:val="2"/>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3105F6B5"/>
    <w:multiLevelType w:val="singleLevel"/>
    <w:tmpl w:val="3105F6B5"/>
    <w:lvl w:ilvl="0" w:tentative="0">
      <w:start w:val="1"/>
      <w:numFmt w:val="decimal"/>
      <w:suff w:val="nothing"/>
      <w:lvlText w:val="%1、"/>
      <w:lvlJc w:val="left"/>
      <w:pPr>
        <w:ind w:left="320" w:leftChars="0" w:firstLine="0" w:firstLineChars="0"/>
      </w:pPr>
    </w:lvl>
  </w:abstractNum>
  <w:abstractNum w:abstractNumId="6">
    <w:nsid w:val="55CD4C99"/>
    <w:multiLevelType w:val="singleLevel"/>
    <w:tmpl w:val="55CD4C99"/>
    <w:lvl w:ilvl="0" w:tentative="0">
      <w:start w:val="1"/>
      <w:numFmt w:val="chineseCounting"/>
      <w:suff w:val="nothing"/>
      <w:lvlText w:val="%1、"/>
      <w:lvlJc w:val="left"/>
    </w:lvl>
  </w:abstractNum>
  <w:abstractNum w:abstractNumId="7">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3"/>
  </w:num>
  <w:num w:numId="2">
    <w:abstractNumId w:val="1"/>
  </w:num>
  <w:num w:numId="3">
    <w:abstractNumId w:val="5"/>
  </w:num>
  <w:num w:numId="4">
    <w:abstractNumId w:val="6"/>
  </w:num>
  <w:num w:numId="5">
    <w:abstractNumId w:val="4"/>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documentProtection w:enforcement="0"/>
  <w:defaultTabStop w:val="420"/>
  <w:drawingGridHorizontalSpacing w:val="123"/>
  <w:drawingGridVerticalSpacing w:val="168"/>
  <w:displayHorizontalDrawingGridEvery w:val="2"/>
  <w:displayVerticalDrawingGridEvery w:val="2"/>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5MDQxMTZlZGQyMGI1NzY0NmI5MTVkYTBiMTEwZjgifQ=="/>
  </w:docVars>
  <w:rsids>
    <w:rsidRoot w:val="430832B2"/>
    <w:rsid w:val="00036274"/>
    <w:rsid w:val="001C66E0"/>
    <w:rsid w:val="00271C3B"/>
    <w:rsid w:val="00472A86"/>
    <w:rsid w:val="00DF3300"/>
    <w:rsid w:val="0123584C"/>
    <w:rsid w:val="01387A0A"/>
    <w:rsid w:val="015E08CF"/>
    <w:rsid w:val="01E44B68"/>
    <w:rsid w:val="023C35FE"/>
    <w:rsid w:val="025D7EBF"/>
    <w:rsid w:val="03120DC1"/>
    <w:rsid w:val="038329E4"/>
    <w:rsid w:val="04197466"/>
    <w:rsid w:val="042A106A"/>
    <w:rsid w:val="04DF1D99"/>
    <w:rsid w:val="04F35535"/>
    <w:rsid w:val="05CE725F"/>
    <w:rsid w:val="05E31007"/>
    <w:rsid w:val="06141E47"/>
    <w:rsid w:val="063B7194"/>
    <w:rsid w:val="074D53D1"/>
    <w:rsid w:val="08323FEC"/>
    <w:rsid w:val="085D5AE7"/>
    <w:rsid w:val="091D420B"/>
    <w:rsid w:val="09231976"/>
    <w:rsid w:val="093F2ABC"/>
    <w:rsid w:val="099C0E75"/>
    <w:rsid w:val="0A982D0F"/>
    <w:rsid w:val="0AD77765"/>
    <w:rsid w:val="0AEC1713"/>
    <w:rsid w:val="0AEC1935"/>
    <w:rsid w:val="0B213EE8"/>
    <w:rsid w:val="0B2F3756"/>
    <w:rsid w:val="0B680A2B"/>
    <w:rsid w:val="0B84310F"/>
    <w:rsid w:val="0B9E39F1"/>
    <w:rsid w:val="0BF26C44"/>
    <w:rsid w:val="0CDD46C2"/>
    <w:rsid w:val="0D2B33CB"/>
    <w:rsid w:val="0DB874C5"/>
    <w:rsid w:val="0DE97ED5"/>
    <w:rsid w:val="0E782F04"/>
    <w:rsid w:val="0F5301E8"/>
    <w:rsid w:val="0F9E7F65"/>
    <w:rsid w:val="10685029"/>
    <w:rsid w:val="10751E04"/>
    <w:rsid w:val="107847B5"/>
    <w:rsid w:val="110E25D3"/>
    <w:rsid w:val="11402FB2"/>
    <w:rsid w:val="11A227BD"/>
    <w:rsid w:val="11BC2427"/>
    <w:rsid w:val="130308CA"/>
    <w:rsid w:val="135B3A09"/>
    <w:rsid w:val="13725EDE"/>
    <w:rsid w:val="13F25F1E"/>
    <w:rsid w:val="14333C53"/>
    <w:rsid w:val="147F77B9"/>
    <w:rsid w:val="15164F4C"/>
    <w:rsid w:val="1525173B"/>
    <w:rsid w:val="153C6A85"/>
    <w:rsid w:val="15AE1060"/>
    <w:rsid w:val="15E839EB"/>
    <w:rsid w:val="160A2911"/>
    <w:rsid w:val="167B61DA"/>
    <w:rsid w:val="169D7529"/>
    <w:rsid w:val="170A0FC7"/>
    <w:rsid w:val="171F0B4E"/>
    <w:rsid w:val="17451C21"/>
    <w:rsid w:val="17EB3771"/>
    <w:rsid w:val="17FB4D60"/>
    <w:rsid w:val="182C2DE0"/>
    <w:rsid w:val="18333FC9"/>
    <w:rsid w:val="184B14B9"/>
    <w:rsid w:val="18FE29CF"/>
    <w:rsid w:val="1910625E"/>
    <w:rsid w:val="19791440"/>
    <w:rsid w:val="198D3D53"/>
    <w:rsid w:val="19F6321A"/>
    <w:rsid w:val="1A3C3B56"/>
    <w:rsid w:val="1AA14F3E"/>
    <w:rsid w:val="1AED2CFB"/>
    <w:rsid w:val="1AFA15B8"/>
    <w:rsid w:val="1BA86B96"/>
    <w:rsid w:val="1BD6471C"/>
    <w:rsid w:val="1BE65325"/>
    <w:rsid w:val="1DB573D4"/>
    <w:rsid w:val="1E6813A9"/>
    <w:rsid w:val="1E91363A"/>
    <w:rsid w:val="1ECE4F82"/>
    <w:rsid w:val="1EE5064C"/>
    <w:rsid w:val="1F232690"/>
    <w:rsid w:val="1F4B1CD5"/>
    <w:rsid w:val="1F5B26D6"/>
    <w:rsid w:val="1F6007D8"/>
    <w:rsid w:val="1FBF7012"/>
    <w:rsid w:val="206F41B2"/>
    <w:rsid w:val="2080160F"/>
    <w:rsid w:val="212A6FB2"/>
    <w:rsid w:val="22316211"/>
    <w:rsid w:val="226F3F88"/>
    <w:rsid w:val="22965E6B"/>
    <w:rsid w:val="22A01578"/>
    <w:rsid w:val="22F917C9"/>
    <w:rsid w:val="23874BA3"/>
    <w:rsid w:val="24AA355B"/>
    <w:rsid w:val="24D80E4E"/>
    <w:rsid w:val="25002F8D"/>
    <w:rsid w:val="250F1BE1"/>
    <w:rsid w:val="251B598A"/>
    <w:rsid w:val="25546BA5"/>
    <w:rsid w:val="25550156"/>
    <w:rsid w:val="25777D91"/>
    <w:rsid w:val="260D7B4D"/>
    <w:rsid w:val="267D2FA7"/>
    <w:rsid w:val="26D37563"/>
    <w:rsid w:val="26E45926"/>
    <w:rsid w:val="27161DF2"/>
    <w:rsid w:val="27CD382A"/>
    <w:rsid w:val="27D72414"/>
    <w:rsid w:val="283D072F"/>
    <w:rsid w:val="28527753"/>
    <w:rsid w:val="285C7E68"/>
    <w:rsid w:val="286B44D3"/>
    <w:rsid w:val="28CE180E"/>
    <w:rsid w:val="291C049E"/>
    <w:rsid w:val="299F2BD7"/>
    <w:rsid w:val="29DC7303"/>
    <w:rsid w:val="2A2953D2"/>
    <w:rsid w:val="2A403E4C"/>
    <w:rsid w:val="2A470C7F"/>
    <w:rsid w:val="2A5E151F"/>
    <w:rsid w:val="2A6F2C28"/>
    <w:rsid w:val="2AB303AA"/>
    <w:rsid w:val="2AF552B4"/>
    <w:rsid w:val="2B7102E5"/>
    <w:rsid w:val="2B762634"/>
    <w:rsid w:val="2C047AD0"/>
    <w:rsid w:val="2C4C731E"/>
    <w:rsid w:val="2C7C4FC9"/>
    <w:rsid w:val="2D1B0C53"/>
    <w:rsid w:val="2DF06B27"/>
    <w:rsid w:val="2DF1140A"/>
    <w:rsid w:val="2E1B0C2F"/>
    <w:rsid w:val="2E2D151C"/>
    <w:rsid w:val="2E764B34"/>
    <w:rsid w:val="2E9D1F9E"/>
    <w:rsid w:val="2F5A75E4"/>
    <w:rsid w:val="2FA50B1C"/>
    <w:rsid w:val="302A33F8"/>
    <w:rsid w:val="305F7D9F"/>
    <w:rsid w:val="30CE30FC"/>
    <w:rsid w:val="31146331"/>
    <w:rsid w:val="31286C3D"/>
    <w:rsid w:val="31753DD8"/>
    <w:rsid w:val="31C54436"/>
    <w:rsid w:val="32711981"/>
    <w:rsid w:val="32DC529A"/>
    <w:rsid w:val="335C76C1"/>
    <w:rsid w:val="33974E7C"/>
    <w:rsid w:val="34325BDF"/>
    <w:rsid w:val="3464452F"/>
    <w:rsid w:val="34AC63E7"/>
    <w:rsid w:val="35427B0F"/>
    <w:rsid w:val="355166BF"/>
    <w:rsid w:val="35C66178"/>
    <w:rsid w:val="36AA5E0A"/>
    <w:rsid w:val="36E42A50"/>
    <w:rsid w:val="379F4F25"/>
    <w:rsid w:val="37D44BCF"/>
    <w:rsid w:val="38083993"/>
    <w:rsid w:val="386C0CA7"/>
    <w:rsid w:val="3891387E"/>
    <w:rsid w:val="38C56C0D"/>
    <w:rsid w:val="39C72577"/>
    <w:rsid w:val="3A1273C6"/>
    <w:rsid w:val="3A283A12"/>
    <w:rsid w:val="3AE06945"/>
    <w:rsid w:val="3BC55DD4"/>
    <w:rsid w:val="3BFA097C"/>
    <w:rsid w:val="3C044892"/>
    <w:rsid w:val="3C415AEE"/>
    <w:rsid w:val="3CA827C1"/>
    <w:rsid w:val="3CAD59EE"/>
    <w:rsid w:val="3D496B99"/>
    <w:rsid w:val="3D681E63"/>
    <w:rsid w:val="3D751F42"/>
    <w:rsid w:val="3E0E1F27"/>
    <w:rsid w:val="3E983751"/>
    <w:rsid w:val="3ED26025"/>
    <w:rsid w:val="3FA7735D"/>
    <w:rsid w:val="408E72C3"/>
    <w:rsid w:val="408E7BCF"/>
    <w:rsid w:val="40B26236"/>
    <w:rsid w:val="41047E71"/>
    <w:rsid w:val="413A315B"/>
    <w:rsid w:val="414323CD"/>
    <w:rsid w:val="41523CEF"/>
    <w:rsid w:val="41681350"/>
    <w:rsid w:val="416F668A"/>
    <w:rsid w:val="419F6662"/>
    <w:rsid w:val="41A72D03"/>
    <w:rsid w:val="41BC55E0"/>
    <w:rsid w:val="41CC18D7"/>
    <w:rsid w:val="420B7389"/>
    <w:rsid w:val="42297C51"/>
    <w:rsid w:val="423544BC"/>
    <w:rsid w:val="423563C7"/>
    <w:rsid w:val="42A122A4"/>
    <w:rsid w:val="42C57370"/>
    <w:rsid w:val="430832B2"/>
    <w:rsid w:val="435B2B0B"/>
    <w:rsid w:val="445769C9"/>
    <w:rsid w:val="44740DA7"/>
    <w:rsid w:val="44951B21"/>
    <w:rsid w:val="4501031B"/>
    <w:rsid w:val="454815E5"/>
    <w:rsid w:val="45712B3F"/>
    <w:rsid w:val="457C2033"/>
    <w:rsid w:val="46A95479"/>
    <w:rsid w:val="46F77B89"/>
    <w:rsid w:val="4706296E"/>
    <w:rsid w:val="4743767B"/>
    <w:rsid w:val="4834354A"/>
    <w:rsid w:val="490F2667"/>
    <w:rsid w:val="49726A4B"/>
    <w:rsid w:val="4A0D2D7D"/>
    <w:rsid w:val="4A4B2CCE"/>
    <w:rsid w:val="4A69564B"/>
    <w:rsid w:val="4B856EF0"/>
    <w:rsid w:val="4BB73B85"/>
    <w:rsid w:val="4BF478AD"/>
    <w:rsid w:val="4BF50141"/>
    <w:rsid w:val="4C17384D"/>
    <w:rsid w:val="4C257A37"/>
    <w:rsid w:val="4C610BBF"/>
    <w:rsid w:val="4CF5766A"/>
    <w:rsid w:val="4CF71E3A"/>
    <w:rsid w:val="4DF50B78"/>
    <w:rsid w:val="4E6938E7"/>
    <w:rsid w:val="4E701DC0"/>
    <w:rsid w:val="4F006719"/>
    <w:rsid w:val="4F2E489B"/>
    <w:rsid w:val="4F5166AD"/>
    <w:rsid w:val="4F5D25FD"/>
    <w:rsid w:val="4FB41D44"/>
    <w:rsid w:val="4FCC0E0D"/>
    <w:rsid w:val="50BF6E81"/>
    <w:rsid w:val="5119117C"/>
    <w:rsid w:val="513F080C"/>
    <w:rsid w:val="515317E5"/>
    <w:rsid w:val="515B13D4"/>
    <w:rsid w:val="52324560"/>
    <w:rsid w:val="52485F28"/>
    <w:rsid w:val="52654DCD"/>
    <w:rsid w:val="5306542C"/>
    <w:rsid w:val="533662E6"/>
    <w:rsid w:val="53390376"/>
    <w:rsid w:val="534704F3"/>
    <w:rsid w:val="53746819"/>
    <w:rsid w:val="53940122"/>
    <w:rsid w:val="553813F1"/>
    <w:rsid w:val="55B81281"/>
    <w:rsid w:val="56493792"/>
    <w:rsid w:val="57D3597F"/>
    <w:rsid w:val="58A83ABB"/>
    <w:rsid w:val="597C103E"/>
    <w:rsid w:val="59BD150F"/>
    <w:rsid w:val="5A7E608A"/>
    <w:rsid w:val="5AE0581C"/>
    <w:rsid w:val="5BE43388"/>
    <w:rsid w:val="5C233588"/>
    <w:rsid w:val="5CA75AA1"/>
    <w:rsid w:val="5CBC3478"/>
    <w:rsid w:val="5CD53D28"/>
    <w:rsid w:val="5CFE772B"/>
    <w:rsid w:val="5D2366CB"/>
    <w:rsid w:val="5D2E6280"/>
    <w:rsid w:val="5D3331A6"/>
    <w:rsid w:val="5E0B0134"/>
    <w:rsid w:val="5E135BA1"/>
    <w:rsid w:val="5E1D1079"/>
    <w:rsid w:val="5EDA6373"/>
    <w:rsid w:val="5F0C00BF"/>
    <w:rsid w:val="601F4136"/>
    <w:rsid w:val="6031773D"/>
    <w:rsid w:val="606D7C3D"/>
    <w:rsid w:val="60C45E60"/>
    <w:rsid w:val="618E773C"/>
    <w:rsid w:val="61A65474"/>
    <w:rsid w:val="62123B3B"/>
    <w:rsid w:val="622D3D77"/>
    <w:rsid w:val="634A483E"/>
    <w:rsid w:val="63A76D6E"/>
    <w:rsid w:val="642B45E0"/>
    <w:rsid w:val="64604EAC"/>
    <w:rsid w:val="64740A1C"/>
    <w:rsid w:val="64DF79CD"/>
    <w:rsid w:val="66457796"/>
    <w:rsid w:val="6695111E"/>
    <w:rsid w:val="66A5387A"/>
    <w:rsid w:val="66BA5854"/>
    <w:rsid w:val="67656B1B"/>
    <w:rsid w:val="67AE419D"/>
    <w:rsid w:val="67B22635"/>
    <w:rsid w:val="683769EB"/>
    <w:rsid w:val="68BF6DF6"/>
    <w:rsid w:val="698C50B9"/>
    <w:rsid w:val="69D47128"/>
    <w:rsid w:val="6ADE7537"/>
    <w:rsid w:val="6B221B0E"/>
    <w:rsid w:val="6B506044"/>
    <w:rsid w:val="6C5067B1"/>
    <w:rsid w:val="6C7543E1"/>
    <w:rsid w:val="6C963B87"/>
    <w:rsid w:val="6C9F4DA0"/>
    <w:rsid w:val="6CA96079"/>
    <w:rsid w:val="6CAC1F8A"/>
    <w:rsid w:val="6CC81EA4"/>
    <w:rsid w:val="6D3756D1"/>
    <w:rsid w:val="6D37776E"/>
    <w:rsid w:val="6D3E293F"/>
    <w:rsid w:val="6DBD66CF"/>
    <w:rsid w:val="6EEE4B4A"/>
    <w:rsid w:val="6F782CCB"/>
    <w:rsid w:val="6FFC5967"/>
    <w:rsid w:val="701E297D"/>
    <w:rsid w:val="704838FD"/>
    <w:rsid w:val="709119F6"/>
    <w:rsid w:val="71F7318A"/>
    <w:rsid w:val="721A3870"/>
    <w:rsid w:val="72951E3C"/>
    <w:rsid w:val="72DB435C"/>
    <w:rsid w:val="739641CD"/>
    <w:rsid w:val="746335E0"/>
    <w:rsid w:val="74B1717B"/>
    <w:rsid w:val="74D13CD9"/>
    <w:rsid w:val="754C749B"/>
    <w:rsid w:val="757C771D"/>
    <w:rsid w:val="75AB1C93"/>
    <w:rsid w:val="75DF2050"/>
    <w:rsid w:val="76013DC0"/>
    <w:rsid w:val="761B163F"/>
    <w:rsid w:val="76810114"/>
    <w:rsid w:val="76A5065C"/>
    <w:rsid w:val="76E41762"/>
    <w:rsid w:val="7717316E"/>
    <w:rsid w:val="77603777"/>
    <w:rsid w:val="77901BB9"/>
    <w:rsid w:val="77C7479C"/>
    <w:rsid w:val="77EC0C4E"/>
    <w:rsid w:val="78066149"/>
    <w:rsid w:val="786C31EE"/>
    <w:rsid w:val="788E3223"/>
    <w:rsid w:val="78E06AB0"/>
    <w:rsid w:val="791F1447"/>
    <w:rsid w:val="798E0318"/>
    <w:rsid w:val="7A630025"/>
    <w:rsid w:val="7AD93877"/>
    <w:rsid w:val="7B6712FC"/>
    <w:rsid w:val="7BFC0690"/>
    <w:rsid w:val="7CC540BD"/>
    <w:rsid w:val="7CFB6C1C"/>
    <w:rsid w:val="7D162B61"/>
    <w:rsid w:val="7D277D65"/>
    <w:rsid w:val="7D423759"/>
    <w:rsid w:val="7D695F1A"/>
    <w:rsid w:val="7DD956AA"/>
    <w:rsid w:val="7E2D5B39"/>
    <w:rsid w:val="7E3239CA"/>
    <w:rsid w:val="7E9956EB"/>
    <w:rsid w:val="7ED160D1"/>
    <w:rsid w:val="7FDE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4">
    <w:name w:val="heading 1"/>
    <w:basedOn w:val="1"/>
    <w:next w:val="1"/>
    <w:qFormat/>
    <w:uiPriority w:val="0"/>
    <w:pPr>
      <w:keepNext/>
      <w:keepLines/>
      <w:spacing w:line="360" w:lineRule="auto"/>
      <w:jc w:val="center"/>
      <w:outlineLvl w:val="0"/>
    </w:pPr>
    <w:rPr>
      <w:b/>
      <w:bCs/>
      <w:kern w:val="44"/>
      <w:sz w:val="44"/>
      <w:szCs w:val="44"/>
    </w:rPr>
  </w:style>
  <w:style w:type="paragraph" w:styleId="5">
    <w:name w:val="heading 2"/>
    <w:basedOn w:val="1"/>
    <w:next w:val="1"/>
    <w:qFormat/>
    <w:uiPriority w:val="0"/>
    <w:pPr>
      <w:tabs>
        <w:tab w:val="left" w:pos="540"/>
      </w:tabs>
      <w:adjustRightInd w:val="0"/>
      <w:snapToGrid w:val="0"/>
      <w:spacing w:line="360" w:lineRule="auto"/>
      <w:jc w:val="center"/>
      <w:outlineLvl w:val="1"/>
    </w:pPr>
    <w:rPr>
      <w:rFonts w:ascii="Arial" w:hAnsi="Arial"/>
      <w:b/>
      <w:sz w:val="28"/>
      <w:szCs w:val="20"/>
    </w:rPr>
  </w:style>
  <w:style w:type="paragraph" w:styleId="6">
    <w:name w:val="heading 3"/>
    <w:basedOn w:val="1"/>
    <w:next w:val="1"/>
    <w:qFormat/>
    <w:uiPriority w:val="9"/>
    <w:pPr>
      <w:keepNext/>
      <w:keepLines/>
      <w:spacing w:before="260" w:after="260" w:line="416" w:lineRule="auto"/>
      <w:outlineLvl w:val="2"/>
    </w:pPr>
    <w:rPr>
      <w:b/>
      <w:bCs/>
      <w:sz w:val="32"/>
      <w:szCs w:val="32"/>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numPr>
        <w:ilvl w:val="0"/>
        <w:numId w:val="1"/>
      </w:numPr>
      <w:tabs>
        <w:tab w:val="clear" w:pos="780"/>
      </w:tabs>
      <w:ind w:left="0" w:firstLine="0"/>
    </w:pPr>
    <w:rPr>
      <w:rFonts w:ascii="黑体" w:eastAsia="黑体"/>
      <w:sz w:val="22"/>
    </w:rPr>
  </w:style>
  <w:style w:type="paragraph" w:styleId="3">
    <w:name w:val="Date"/>
    <w:basedOn w:val="1"/>
    <w:next w:val="1"/>
    <w:qFormat/>
    <w:uiPriority w:val="0"/>
    <w:pPr>
      <w:ind w:left="100"/>
    </w:pPr>
    <w:rPr>
      <w:sz w:val="24"/>
      <w:szCs w:val="20"/>
    </w:rPr>
  </w:style>
  <w:style w:type="paragraph" w:styleId="7">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8">
    <w:name w:val="toa heading"/>
    <w:basedOn w:val="1"/>
    <w:next w:val="1"/>
    <w:qFormat/>
    <w:uiPriority w:val="0"/>
    <w:pPr>
      <w:spacing w:before="120"/>
    </w:pPr>
    <w:rPr>
      <w:rFonts w:ascii="Cambria" w:hAnsi="Cambria"/>
      <w:sz w:val="24"/>
      <w:szCs w:val="20"/>
    </w:rPr>
  </w:style>
  <w:style w:type="paragraph" w:styleId="9">
    <w:name w:val="index 6"/>
    <w:basedOn w:val="1"/>
    <w:next w:val="1"/>
    <w:qFormat/>
    <w:uiPriority w:val="99"/>
    <w:pPr>
      <w:ind w:left="2100"/>
    </w:pPr>
  </w:style>
  <w:style w:type="paragraph" w:styleId="10">
    <w:name w:val="Body Text Indent"/>
    <w:basedOn w:val="1"/>
    <w:next w:val="1"/>
    <w:qFormat/>
    <w:uiPriority w:val="0"/>
    <w:pPr>
      <w:spacing w:after="120"/>
      <w:ind w:left="200" w:leftChars="200"/>
    </w:pPr>
  </w:style>
  <w:style w:type="paragraph" w:styleId="11">
    <w:name w:val="toc 3"/>
    <w:basedOn w:val="1"/>
    <w:next w:val="1"/>
    <w:qFormat/>
    <w:uiPriority w:val="0"/>
    <w:pPr>
      <w:ind w:left="840" w:leftChars="400"/>
    </w:pPr>
  </w:style>
  <w:style w:type="paragraph" w:styleId="12">
    <w:name w:val="Plain Text"/>
    <w:basedOn w:val="1"/>
    <w:next w:val="13"/>
    <w:qFormat/>
    <w:uiPriority w:val="0"/>
    <w:rPr>
      <w:rFonts w:ascii="宋体"/>
      <w:color w:val="000000"/>
      <w:szCs w:val="20"/>
      <w:u w:val="none" w:color="000000"/>
    </w:rPr>
  </w:style>
  <w:style w:type="paragraph" w:styleId="13">
    <w:name w:val="index 7"/>
    <w:basedOn w:val="1"/>
    <w:next w:val="1"/>
    <w:qFormat/>
    <w:uiPriority w:val="0"/>
    <w:pPr>
      <w:autoSpaceDE/>
      <w:autoSpaceDN/>
      <w:adjustRightInd/>
      <w:ind w:left="1200" w:leftChars="1200"/>
    </w:pPr>
    <w:rPr>
      <w:color w:val="auto"/>
      <w:kern w:val="2"/>
      <w:szCs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footnote text"/>
    <w:basedOn w:val="1"/>
    <w:semiHidden/>
    <w:unhideWhenUsed/>
    <w:qFormat/>
    <w:uiPriority w:val="99"/>
    <w:pPr>
      <w:snapToGrid w:val="0"/>
      <w:jc w:val="left"/>
    </w:pPr>
    <w:rPr>
      <w:sz w:val="18"/>
      <w:szCs w:val="18"/>
    </w:rPr>
  </w:style>
  <w:style w:type="paragraph" w:styleId="18">
    <w:name w:val="toc 2"/>
    <w:basedOn w:val="1"/>
    <w:next w:val="1"/>
    <w:qFormat/>
    <w:uiPriority w:val="0"/>
    <w:pPr>
      <w:ind w:left="420" w:leftChars="200"/>
    </w:pPr>
  </w:style>
  <w:style w:type="paragraph" w:styleId="19">
    <w:name w:val="Body Text 2"/>
    <w:basedOn w:val="1"/>
    <w:qFormat/>
    <w:uiPriority w:val="0"/>
    <w:pPr>
      <w:tabs>
        <w:tab w:val="left" w:pos="0"/>
      </w:tabs>
      <w:spacing w:line="400" w:lineRule="atLeast"/>
    </w:pPr>
    <w:rPr>
      <w:rFonts w:ascii="Arial" w:hAnsi="Arial"/>
      <w:color w:val="000000"/>
    </w:rPr>
  </w:style>
  <w:style w:type="paragraph" w:styleId="20">
    <w:name w:val="Normal (Web)"/>
    <w:basedOn w:val="1"/>
    <w:next w:val="21"/>
    <w:qFormat/>
    <w:uiPriority w:val="99"/>
    <w:pPr>
      <w:widowControl/>
      <w:jc w:val="left"/>
    </w:pPr>
    <w:rPr>
      <w:rFonts w:ascii="宋体" w:hAnsi="宋体" w:eastAsia="宋体" w:cs="宋体"/>
      <w:kern w:val="0"/>
      <w:sz w:val="24"/>
      <w:szCs w:val="24"/>
    </w:rPr>
  </w:style>
  <w:style w:type="paragraph" w:customStyle="1" w:styleId="21">
    <w:name w:val="toc 4"/>
    <w:next w:val="1"/>
    <w:qFormat/>
    <w:uiPriority w:val="0"/>
    <w:pPr>
      <w:wordWrap w:val="0"/>
      <w:ind w:left="1275"/>
      <w:jc w:val="both"/>
    </w:pPr>
    <w:rPr>
      <w:rFonts w:ascii="Times New Roman" w:hAnsi="Times New Roman" w:eastAsia="宋体" w:cs="Times New Roman"/>
      <w:sz w:val="21"/>
      <w:lang w:val="en-US" w:eastAsia="zh-CN" w:bidi="ar-SA"/>
    </w:rPr>
  </w:style>
  <w:style w:type="paragraph" w:styleId="22">
    <w:name w:val="Body Text First Indent 2"/>
    <w:basedOn w:val="10"/>
    <w:semiHidden/>
    <w:unhideWhenUsed/>
    <w:qFormat/>
    <w:uiPriority w:val="99"/>
    <w:pPr>
      <w:ind w:firstLine="420" w:firstLineChars="200"/>
    </w:p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Hyperlink"/>
    <w:qFormat/>
    <w:uiPriority w:val="99"/>
    <w:rPr>
      <w:color w:val="0000FF"/>
      <w:u w:val="single"/>
    </w:rPr>
  </w:style>
  <w:style w:type="character" w:styleId="28">
    <w:name w:val="footnote reference"/>
    <w:basedOn w:val="25"/>
    <w:semiHidden/>
    <w:unhideWhenUsed/>
    <w:qFormat/>
    <w:uiPriority w:val="99"/>
    <w:rPr>
      <w:vertAlign w:val="superscript"/>
    </w:rPr>
  </w:style>
  <w:style w:type="character" w:styleId="29">
    <w:name w:val="HTML Sample"/>
    <w:basedOn w:val="25"/>
    <w:qFormat/>
    <w:uiPriority w:val="0"/>
    <w:rPr>
      <w:rFonts w:ascii="Courier New" w:hAnsi="Courier New"/>
    </w:rPr>
  </w:style>
  <w:style w:type="paragraph" w:customStyle="1" w:styleId="3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1">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32">
    <w:name w:val="_Style 2"/>
    <w:basedOn w:val="4"/>
    <w:next w:val="1"/>
    <w:qFormat/>
    <w:uiPriority w:val="39"/>
    <w:pPr>
      <w:widowControl/>
      <w:tabs>
        <w:tab w:val="left" w:pos="715"/>
      </w:tabs>
      <w:spacing w:before="480" w:after="0" w:line="276" w:lineRule="auto"/>
      <w:jc w:val="left"/>
      <w:outlineLvl w:val="9"/>
    </w:pPr>
    <w:rPr>
      <w:rFonts w:ascii="Cambria" w:hAnsi="Cambria" w:eastAsia="宋体" w:cs="Times New Roman"/>
      <w:color w:val="365F91"/>
      <w:kern w:val="0"/>
      <w:sz w:val="28"/>
      <w:szCs w:val="28"/>
    </w:rPr>
  </w:style>
  <w:style w:type="paragraph" w:customStyle="1" w:styleId="33">
    <w:name w:val="文档正文"/>
    <w:basedOn w:val="7"/>
    <w:qFormat/>
    <w:uiPriority w:val="0"/>
    <w:pPr>
      <w:spacing w:line="360" w:lineRule="auto"/>
    </w:pPr>
    <w:rPr>
      <w:rFonts w:ascii="宋体" w:hAnsi="宋体"/>
      <w:b/>
      <w:bCs/>
    </w:rPr>
  </w:style>
  <w:style w:type="paragraph" w:customStyle="1" w:styleId="34">
    <w:name w:val="Heading #2|1"/>
    <w:basedOn w:val="1"/>
    <w:qFormat/>
    <w:uiPriority w:val="0"/>
    <w:pPr>
      <w:widowControl w:val="0"/>
      <w:shd w:val="clear" w:color="auto" w:fill="auto"/>
      <w:spacing w:before="60" w:after="270"/>
      <w:jc w:val="center"/>
      <w:outlineLvl w:val="1"/>
    </w:pPr>
    <w:rPr>
      <w:rFonts w:ascii="宋体" w:hAnsi="宋体" w:eastAsia="宋体" w:cs="宋体"/>
      <w:sz w:val="36"/>
      <w:szCs w:val="36"/>
      <w:u w:val="none"/>
      <w:shd w:val="clear" w:color="auto" w:fill="auto"/>
      <w:lang w:val="zh-TW" w:eastAsia="zh-TW" w:bidi="zh-TW"/>
    </w:rPr>
  </w:style>
  <w:style w:type="paragraph" w:customStyle="1" w:styleId="35">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36">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7">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8">
    <w:name w:val="Table caption|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paragraph" w:customStyle="1" w:styleId="39">
    <w:name w:val="Table Paragraph"/>
    <w:basedOn w:val="1"/>
    <w:qFormat/>
    <w:uiPriority w:val="1"/>
    <w:pPr>
      <w:autoSpaceDE w:val="0"/>
      <w:autoSpaceDN w:val="0"/>
      <w:adjustRightInd w:val="0"/>
      <w:jc w:val="left"/>
    </w:pPr>
    <w:rPr>
      <w:rFonts w:ascii="Times New Roman" w:hAnsi="Times New Roman" w:eastAsia="宋体" w:cs="Times New Roman"/>
      <w:kern w:val="0"/>
      <w:sz w:val="24"/>
      <w:szCs w:val="24"/>
    </w:rPr>
  </w:style>
  <w:style w:type="paragraph" w:customStyle="1" w:styleId="40">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41">
    <w:name w:val="图例"/>
    <w:basedOn w:val="1"/>
    <w:qFormat/>
    <w:uiPriority w:val="0"/>
    <w:pPr>
      <w:spacing w:before="120" w:beforeLines="0" w:after="120" w:afterLines="0" w:line="360" w:lineRule="auto"/>
      <w:jc w:val="center"/>
    </w:pPr>
    <w:rPr>
      <w:rFonts w:eastAsia="仿宋_GB2312"/>
      <w:b/>
      <w:sz w:val="24"/>
    </w:rPr>
  </w:style>
  <w:style w:type="paragraph" w:customStyle="1" w:styleId="42">
    <w:name w:val="WPS Plain"/>
    <w:qFormat/>
    <w:uiPriority w:val="0"/>
    <w:rPr>
      <w:rFonts w:ascii="Times New Roman" w:hAnsi="Times New Roman" w:eastAsia="宋体" w:cs="Times New Roman"/>
      <w:lang w:val="en-US" w:eastAsia="zh-CN" w:bidi="ar-SA"/>
    </w:rPr>
  </w:style>
  <w:style w:type="paragraph" w:customStyle="1" w:styleId="43">
    <w:name w:val="样式 左侧:  0 厘米 悬挂缩进: 2.5 字符"/>
    <w:basedOn w:val="1"/>
    <w:qFormat/>
    <w:uiPriority w:val="0"/>
    <w:pPr>
      <w:ind w:left="525" w:hanging="525" w:hangingChars="250"/>
    </w:pPr>
    <w:rPr>
      <w:szCs w:val="20"/>
    </w:rPr>
  </w:style>
  <w:style w:type="character" w:customStyle="1" w:styleId="44">
    <w:name w:val="font11"/>
    <w:basedOn w:val="25"/>
    <w:qFormat/>
    <w:uiPriority w:val="0"/>
    <w:rPr>
      <w:rFonts w:ascii="Calibri" w:hAnsi="Calibri" w:cs="Calibri"/>
      <w:color w:val="000000"/>
      <w:sz w:val="20"/>
      <w:szCs w:val="20"/>
      <w:u w:val="none"/>
    </w:rPr>
  </w:style>
  <w:style w:type="paragraph" w:customStyle="1" w:styleId="45">
    <w:name w:val="Normal"/>
    <w:qFormat/>
    <w:uiPriority w:val="0"/>
    <w:rPr>
      <w:rFonts w:ascii="Times New Roman" w:hAnsi="Times New Roman" w:eastAsia="Times New Roman" w:cs="Times New Roman"/>
      <w:sz w:val="24"/>
      <w:szCs w:val="24"/>
      <w:lang w:bidi="ar-SA"/>
    </w:rPr>
  </w:style>
  <w:style w:type="paragraph" w:customStyle="1" w:styleId="46">
    <w:name w:val="样式 样式 样式 左侧:  2 字符1 + 首行缩进:  2 字符1 + 首行缩进:  2 字符"/>
    <w:basedOn w:val="1"/>
    <w:qFormat/>
    <w:uiPriority w:val="0"/>
    <w:pPr>
      <w:widowControl/>
      <w:adjustRightInd w:val="0"/>
      <w:spacing w:before="60" w:after="120" w:line="440" w:lineRule="atLeast"/>
      <w:ind w:firstLine="480"/>
      <w:textAlignment w:val="baseline"/>
    </w:pPr>
    <w:rPr>
      <w:sz w:val="24"/>
    </w:rPr>
  </w:style>
  <w:style w:type="paragraph" w:customStyle="1" w:styleId="47">
    <w:name w:val="BodyText1I2"/>
    <w:basedOn w:val="48"/>
    <w:qFormat/>
    <w:uiPriority w:val="0"/>
    <w:pPr>
      <w:spacing w:after="0" w:afterLines="0" w:line="500" w:lineRule="exact"/>
      <w:ind w:left="0" w:leftChars="0" w:firstLine="420" w:firstLineChars="200"/>
      <w:jc w:val="both"/>
    </w:pPr>
    <w:rPr>
      <w:kern w:val="2"/>
      <w:sz w:val="21"/>
      <w:szCs w:val="24"/>
      <w:lang w:bidi="ar-SA"/>
    </w:rPr>
  </w:style>
  <w:style w:type="paragraph" w:customStyle="1" w:styleId="48">
    <w:name w:val="BodyTextIndent"/>
    <w:basedOn w:val="1"/>
    <w:qFormat/>
    <w:uiPriority w:val="0"/>
    <w:pPr>
      <w:widowControl/>
      <w:spacing w:after="120" w:afterLines="0" w:line="240" w:lineRule="auto"/>
      <w:ind w:left="420" w:leftChars="200"/>
      <w:jc w:val="both"/>
    </w:pPr>
    <w:rPr>
      <w:rFonts w:ascii="宋体" w:hAnsi="宋体" w:eastAsia="宋体" w:cs="宋体"/>
      <w:kern w:val="2"/>
      <w:sz w:val="21"/>
      <w:szCs w:val="22"/>
      <w:lang w:eastAsia="en-US" w:bidi="ar-SA"/>
    </w:rPr>
  </w:style>
  <w:style w:type="character" w:customStyle="1" w:styleId="49">
    <w:name w:val="font51"/>
    <w:basedOn w:val="25"/>
    <w:qFormat/>
    <w:uiPriority w:val="0"/>
    <w:rPr>
      <w:rFonts w:hint="eastAsia" w:ascii="宋体" w:hAnsi="宋体" w:eastAsia="宋体" w:cs="宋体"/>
      <w:color w:val="000000"/>
      <w:sz w:val="22"/>
      <w:szCs w:val="22"/>
      <w:u w:val="none"/>
    </w:rPr>
  </w:style>
  <w:style w:type="character" w:customStyle="1" w:styleId="50">
    <w:name w:val="font61"/>
    <w:basedOn w:val="25"/>
    <w:qFormat/>
    <w:uiPriority w:val="0"/>
    <w:rPr>
      <w:rFonts w:hint="eastAsia" w:ascii="宋体" w:hAnsi="宋体" w:eastAsia="宋体" w:cs="宋体"/>
      <w:color w:val="000000"/>
      <w:sz w:val="24"/>
      <w:szCs w:val="24"/>
      <w:u w:val="none"/>
    </w:rPr>
  </w:style>
  <w:style w:type="character" w:customStyle="1" w:styleId="51">
    <w:name w:val="font91"/>
    <w:basedOn w:val="25"/>
    <w:qFormat/>
    <w:uiPriority w:val="0"/>
    <w:rPr>
      <w:rFonts w:hint="default" w:ascii="Verdana" w:hAnsi="Verdana" w:cs="Verdana"/>
      <w:color w:val="000000"/>
      <w:sz w:val="24"/>
      <w:szCs w:val="24"/>
      <w:u w:val="none"/>
    </w:rPr>
  </w:style>
  <w:style w:type="character" w:customStyle="1" w:styleId="52">
    <w:name w:val="font31"/>
    <w:basedOn w:val="25"/>
    <w:qFormat/>
    <w:uiPriority w:val="0"/>
    <w:rPr>
      <w:rFonts w:hint="eastAsia" w:ascii="宋体" w:hAnsi="宋体" w:eastAsia="宋体" w:cs="宋体"/>
      <w:color w:val="000000"/>
      <w:sz w:val="21"/>
      <w:szCs w:val="21"/>
      <w:u w:val="none"/>
    </w:rPr>
  </w:style>
  <w:style w:type="character" w:customStyle="1" w:styleId="53">
    <w:name w:val="font01"/>
    <w:basedOn w:val="25"/>
    <w:qFormat/>
    <w:uiPriority w:val="0"/>
    <w:rPr>
      <w:rFonts w:hint="eastAsia" w:ascii="宋体" w:hAnsi="宋体" w:eastAsia="宋体" w:cs="宋体"/>
      <w:color w:val="000000"/>
      <w:sz w:val="22"/>
      <w:szCs w:val="22"/>
      <w:u w:val="none"/>
    </w:rPr>
  </w:style>
  <w:style w:type="character" w:customStyle="1" w:styleId="54">
    <w:name w:val="NormalCharacter"/>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102</Pages>
  <Words>55215</Words>
  <Characters>59633</Characters>
  <Lines>0</Lines>
  <Paragraphs>0</Paragraphs>
  <TotalTime>0</TotalTime>
  <ScaleCrop>false</ScaleCrop>
  <LinksUpToDate>false</LinksUpToDate>
  <CharactersWithSpaces>63805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2021-12-16T05:31:00Z</dcterms:created>
  <dc:creator>梦花雨   甘安莉</dc:creator>
  <cp:lastModifiedBy>尘埃里点、开不出爱情的花</cp:lastModifiedBy>
  <cp:lastPrinted>2022-09-05T04:29:00Z</cp:lastPrinted>
  <dcterms:modified xsi:type="dcterms:W3CDTF">2022-10-09T07:25:54Z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DEC63E6696464C9394C13ADC17C5580A</vt:lpwstr>
  </property>
</Properties>
</file>